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F1" w:rsidRDefault="00D76FF1" w:rsidP="00D76FF1">
      <w:pPr>
        <w:pStyle w:val="NormalnyWeb"/>
        <w:spacing w:before="0" w:beforeAutospacing="0" w:after="0" w:afterAutospacing="0" w:line="360" w:lineRule="auto"/>
        <w:ind w:left="2124" w:firstLine="708"/>
        <w:contextualSpacing/>
        <w:jc w:val="both"/>
        <w:outlineLvl w:val="0"/>
        <w:rPr>
          <w:sz w:val="16"/>
          <w:szCs w:val="16"/>
        </w:rPr>
      </w:pPr>
    </w:p>
    <w:p w:rsidR="00CD5FAE" w:rsidRDefault="00CD5FAE" w:rsidP="00D76FF1">
      <w:pPr>
        <w:pStyle w:val="NormalnyWeb"/>
        <w:spacing w:before="0" w:beforeAutospacing="0" w:after="0" w:afterAutospacing="0" w:line="360" w:lineRule="auto"/>
        <w:ind w:left="2124" w:firstLine="708"/>
        <w:contextualSpacing/>
        <w:jc w:val="both"/>
        <w:outlineLvl w:val="0"/>
        <w:rPr>
          <w:sz w:val="16"/>
          <w:szCs w:val="16"/>
        </w:rPr>
      </w:pPr>
    </w:p>
    <w:p w:rsidR="00CD5FAE" w:rsidRDefault="00CD5FAE" w:rsidP="00D76FF1">
      <w:pPr>
        <w:pStyle w:val="NormalnyWeb"/>
        <w:spacing w:before="0" w:beforeAutospacing="0" w:after="0" w:afterAutospacing="0" w:line="360" w:lineRule="auto"/>
        <w:ind w:left="2124" w:firstLine="708"/>
        <w:contextualSpacing/>
        <w:jc w:val="both"/>
        <w:outlineLvl w:val="0"/>
      </w:pPr>
    </w:p>
    <w:p w:rsidR="00D76FF1" w:rsidRDefault="00D76FF1" w:rsidP="00D76FF1">
      <w:pPr>
        <w:pStyle w:val="NormalnyWeb"/>
        <w:spacing w:before="0" w:beforeAutospacing="0" w:after="0" w:afterAutospacing="0" w:line="360" w:lineRule="auto"/>
        <w:ind w:left="2124" w:firstLine="708"/>
        <w:contextualSpacing/>
        <w:jc w:val="both"/>
        <w:outlineLvl w:val="0"/>
      </w:pPr>
      <w:r>
        <w:t>OPIS AGLOMERACJI WIĘCBORK</w:t>
      </w:r>
    </w:p>
    <w:p w:rsidR="00D76FF1" w:rsidRPr="004066E4" w:rsidRDefault="00D76FF1" w:rsidP="00D76FF1">
      <w:pPr>
        <w:pStyle w:val="NormalnyWeb"/>
        <w:spacing w:before="0" w:beforeAutospacing="0" w:after="0" w:afterAutospacing="0" w:line="360" w:lineRule="auto"/>
        <w:ind w:left="2124" w:firstLine="708"/>
        <w:contextualSpacing/>
        <w:jc w:val="both"/>
        <w:outlineLvl w:val="0"/>
      </w:pPr>
    </w:p>
    <w:p w:rsidR="00D76FF1" w:rsidRPr="004066E4" w:rsidRDefault="00D76FF1" w:rsidP="00D76FF1">
      <w:pPr>
        <w:pStyle w:val="NormalnyWeb"/>
        <w:spacing w:before="0" w:beforeAutospacing="0" w:after="0" w:afterAutospacing="0" w:line="360" w:lineRule="auto"/>
        <w:contextualSpacing/>
        <w:jc w:val="both"/>
        <w:outlineLvl w:val="0"/>
      </w:pPr>
      <w:r w:rsidRPr="004066E4">
        <w:t xml:space="preserve">Równoważna liczba mieszkańców aglomeracji (RLM) wynosi 9 692. Ustalona została </w:t>
      </w:r>
      <w:r w:rsidR="009802D5" w:rsidRPr="004066E4">
        <w:br/>
      </w:r>
      <w:r w:rsidRPr="004066E4">
        <w:t xml:space="preserve">w oparciu o liczbę </w:t>
      </w:r>
      <w:r w:rsidR="00A523A6" w:rsidRPr="004066E4">
        <w:t>osób</w:t>
      </w:r>
      <w:r w:rsidRPr="004066E4">
        <w:t xml:space="preserve"> korzystających z istniejącej sieci kanalizacyjnej 7 155 </w:t>
      </w:r>
      <w:r w:rsidRPr="004066E4">
        <w:br/>
        <w:t xml:space="preserve">(w tym 655 osób czasowo przebywających na terenie aglomeracji), liczbę </w:t>
      </w:r>
      <w:r w:rsidR="00B9249E" w:rsidRPr="004066E4">
        <w:t>o</w:t>
      </w:r>
      <w:r w:rsidR="003719B1" w:rsidRPr="004066E4">
        <w:t>sób</w:t>
      </w:r>
      <w:r w:rsidRPr="004066E4">
        <w:t xml:space="preserve"> planowanych do przył</w:t>
      </w:r>
      <w:r w:rsidR="00DC49FD" w:rsidRPr="004066E4">
        <w:t>ączenia do sieci kanalizacyjnej</w:t>
      </w:r>
      <w:r w:rsidRPr="004066E4">
        <w:t xml:space="preserve"> na której wykonanie środki finansowe zostały pozyskane </w:t>
      </w:r>
      <w:r w:rsidR="00DC49FD" w:rsidRPr="004066E4">
        <w:t>1601</w:t>
      </w:r>
      <w:r w:rsidRPr="004066E4">
        <w:t xml:space="preserve"> (w tym 153 osoby czasowo przebywające na terenie aglomeracji), liczbę mieszkańców planowanych do podłączenia do projektowanej siec</w:t>
      </w:r>
      <w:r w:rsidR="009802D5" w:rsidRPr="004066E4">
        <w:t>i kanalizacyjnej 612, równoważną</w:t>
      </w:r>
      <w:r w:rsidRPr="004066E4">
        <w:t xml:space="preserve"> liczbę mieszkańców wynikającą z dobowego ładunku ścieków odprowadzanych przez zakłady przemysłowe i usługowe  korzystające z istniejącej sieci kanalizacyjnej 131, oraz liczbę mieszkańców oraz osób czasowo przebywających na terenie aglomeracji, korzystających z indywidualnych systemów oczyszczania ścieków komunalnych (przydomowe oczyszczalnie ścieków, zbiorniki bezodpływowe) nieplanowanych do podłączenia do sieci </w:t>
      </w:r>
      <w:r w:rsidR="00387DBE" w:rsidRPr="004066E4">
        <w:t>193</w:t>
      </w:r>
      <w:r w:rsidRPr="004066E4">
        <w:t>.</w:t>
      </w:r>
      <w:r w:rsidR="001448ED" w:rsidRPr="004066E4">
        <w:t xml:space="preserve"> Liczba stałych mieszkańców aglomeracji Więcbork wynosi </w:t>
      </w:r>
      <w:r w:rsidR="0025453F" w:rsidRPr="004066E4">
        <w:t>8753</w:t>
      </w:r>
      <w:r w:rsidR="001448ED" w:rsidRPr="004066E4">
        <w:t xml:space="preserve"> a liczba osób czasowo przebywających na terenie aglomeracji Więcbork wynosi 808.</w:t>
      </w:r>
    </w:p>
    <w:p w:rsidR="00D76FF1" w:rsidRPr="006249D1" w:rsidRDefault="00D76FF1" w:rsidP="00D76FF1">
      <w:pPr>
        <w:pStyle w:val="NormalnyWeb"/>
        <w:spacing w:before="0" w:beforeAutospacing="0" w:after="0" w:afterAutospacing="0" w:line="360" w:lineRule="auto"/>
        <w:contextualSpacing/>
        <w:jc w:val="both"/>
        <w:outlineLvl w:val="0"/>
      </w:pPr>
      <w:r w:rsidRPr="006249D1">
        <w:tab/>
        <w:t xml:space="preserve">Na terenie aglomeracji funkcjonuje sieć kanalizacyjna o długości 67,775 km, w tym 33,64 km kanalizacji sanitarnej grawitacyjnej i 34,135 kanalizacji sanitarnej tłocznej. Planuje się wybudować sieć kanalizacyjną o łącznej długości 4,945 km (w tym 3,23 km kanalizacji sanitarnej grawitacyjnej i 1,715 kanalizacji sanitarnej tłocznej), do której zostanie podłączonych 612 mieszkańców. Wskaźnik koncentracji dla obszarów położonych </w:t>
      </w:r>
      <w:r w:rsidRPr="006249D1">
        <w:br/>
        <w:t xml:space="preserve">w Krajeńskim Parku Krajobrazowym obliczony jako stosunek liczby mieszkańców planowanych do przyłączenia  do systemu kanalizacji zbiorczej do długości  planowanej do wybudowania sieci  kanalizacyjnej wynosi: 437 mieszkańców/ 4,045 km = 108,03 mieszkańców/km sieci i jest zgodny ze wskaźnikiem długości sieci określonym w § 3 ust 5 Rozporządzenia Ministra Gospodarki Morskiej i Żeglugi Śródlądowej z dnia 27 lipca 2018r. </w:t>
      </w:r>
      <w:r w:rsidRPr="006249D1">
        <w:br/>
        <w:t xml:space="preserve">w sprawie sposobu wyznaczania obszarów i granic aglomeracji. Wskaźnik długości sieci dla obszaru nieobjętego formą ochrony przyrody w rozumieniu ustawy z dnia 16 kwietnia 2004r. o ochronie przyrody lub obszarach mających znaczenie dla Wspólnoty znajdującego się na liście, o której mowa w art. 27 ust. 1 tej ustawy obliczany jest jako stosunek liczby mieszkańców planowanych do przyłączenia do systemu kanalizacji zbiorczej do długości  planowanej do wybudowania sieci  kanalizacyjnej i wynosi: 175 mieszkańców/ 0,900 km = </w:t>
      </w:r>
      <w:r w:rsidRPr="006249D1">
        <w:lastRenderedPageBreak/>
        <w:t>194,44 mieszkańców/km sieci i jest zgodny ze wskaźnikiem długości sieci określonym w § 3 ust 4 Rozporządzenia Ministra Gospodarki Morskiej i Żeglugi Śródlądowej z dnia 27 lipca 2018r. w sprawie sposobu wyznaczania obszarów i granic aglomeracji.</w:t>
      </w:r>
    </w:p>
    <w:p w:rsidR="0092284F" w:rsidRPr="004066E4" w:rsidRDefault="00D76FF1" w:rsidP="00D76FF1">
      <w:pPr>
        <w:pStyle w:val="NormalnyWeb"/>
        <w:spacing w:before="0" w:beforeAutospacing="0" w:after="0" w:afterAutospacing="0" w:line="360" w:lineRule="auto"/>
        <w:contextualSpacing/>
        <w:jc w:val="both"/>
        <w:outlineLvl w:val="0"/>
      </w:pPr>
      <w:r w:rsidRPr="006249D1">
        <w:tab/>
        <w:t xml:space="preserve">Sieć kanalizacyjna zakończona jest mechaniczno – biologiczna oczyszczalnią ścieków komunalnych, która spełnia standardy odprowadzonych ścieków. Oczyszczalnia zlokalizowana jest na działce o numerze geodezyjnym 473, obręb Runowo Krajeńskie. </w:t>
      </w:r>
      <w:r w:rsidR="00C26907" w:rsidRPr="008D0053">
        <w:t xml:space="preserve">Projektowana wydajność </w:t>
      </w:r>
      <w:r w:rsidR="00C26907" w:rsidRPr="00F52C30">
        <w:t xml:space="preserve">oczyszczalni ścieków  [RLM]: 9945. </w:t>
      </w:r>
      <w:r w:rsidRPr="00F52C30">
        <w:t xml:space="preserve">Średnia przepustowość oczyszczalni wynosi </w:t>
      </w:r>
      <w:proofErr w:type="spellStart"/>
      <w:r w:rsidRPr="00F52C30">
        <w:t>Q</w:t>
      </w:r>
      <w:r w:rsidRPr="00F52C30">
        <w:rPr>
          <w:vertAlign w:val="subscript"/>
        </w:rPr>
        <w:t>śrd</w:t>
      </w:r>
      <w:proofErr w:type="spellEnd"/>
      <w:r w:rsidRPr="00F52C30">
        <w:rPr>
          <w:vertAlign w:val="subscript"/>
        </w:rPr>
        <w:t xml:space="preserve"> </w:t>
      </w:r>
      <w:r w:rsidRPr="00F52C30">
        <w:t>1 170 m</w:t>
      </w:r>
      <w:r w:rsidRPr="00F52C30">
        <w:rPr>
          <w:vertAlign w:val="superscript"/>
        </w:rPr>
        <w:t>3</w:t>
      </w:r>
      <w:r w:rsidRPr="00F52C30">
        <w:t xml:space="preserve">/d. </w:t>
      </w:r>
      <w:r w:rsidR="00CB4A83" w:rsidRPr="00F52C30">
        <w:t xml:space="preserve">Ilość ścieków dostarczanych do oczyszczalni ścieków: </w:t>
      </w:r>
      <w:r w:rsidR="00B62CA1" w:rsidRPr="00F52C30">
        <w:t>980,27</w:t>
      </w:r>
      <w:r w:rsidR="00CB4A83" w:rsidRPr="00F52C30">
        <w:t xml:space="preserve"> [m3/d], w tym ścieki dopływające siecią kanalizacyjną </w:t>
      </w:r>
      <w:r w:rsidR="00D073B5" w:rsidRPr="00F52C30">
        <w:t>960,27</w:t>
      </w:r>
      <w:r w:rsidR="00CB4A83" w:rsidRPr="00F52C30">
        <w:t xml:space="preserve"> [m3/d], ścieki dowożone</w:t>
      </w:r>
      <w:r w:rsidR="00B62CA1" w:rsidRPr="00F52C30">
        <w:t xml:space="preserve"> i oczyszczane w systemach indywidualnych</w:t>
      </w:r>
      <w:r w:rsidR="00CB4A83" w:rsidRPr="00F52C30">
        <w:t xml:space="preserve"> </w:t>
      </w:r>
      <w:r w:rsidR="00D073B5" w:rsidRPr="00F52C30">
        <w:t>20,00</w:t>
      </w:r>
      <w:r w:rsidR="00CA3CA2" w:rsidRPr="00F52C30">
        <w:t xml:space="preserve"> </w:t>
      </w:r>
      <w:r w:rsidR="00CB4A83" w:rsidRPr="00F52C30">
        <w:t>[m3/d].</w:t>
      </w:r>
      <w:bookmarkStart w:id="0" w:name="_GoBack"/>
      <w:bookmarkEnd w:id="0"/>
      <w:r w:rsidR="00CB4A83" w:rsidRPr="00F52C30">
        <w:t xml:space="preserve"> </w:t>
      </w:r>
      <w:r w:rsidR="00BE0DEF" w:rsidRPr="00F52C30">
        <w:t>Średnia dobowa</w:t>
      </w:r>
      <w:r w:rsidR="00BE0DEF" w:rsidRPr="008D0053">
        <w:t xml:space="preserve"> ilość ścieków komunalnych powstających  na terenie aglomeracji wynosi 948,74 [m3</w:t>
      </w:r>
      <w:r w:rsidR="00BE0DEF" w:rsidRPr="004066E4">
        <w:t xml:space="preserve">/d]. </w:t>
      </w:r>
      <w:r w:rsidRPr="004066E4">
        <w:t xml:space="preserve">Eksploatacja oczyszczalni oraz zrzut ścieków oczyszczonych do odbiornika odbywa się na podstawie decyzji Starosty Sępoleńskiego z dnia 05.12.2013 r., nr RO.6341.8.2013 obowiązującej do dnia 31.12.2023r. </w:t>
      </w:r>
      <w:r w:rsidR="00392BE1" w:rsidRPr="004066E4">
        <w:t xml:space="preserve">na podstawie zmiany ww. decyzji Decyzją nr RO.6341.32-5.2015 z dnia 29 grudnia 2015r. oraz </w:t>
      </w:r>
      <w:r w:rsidRPr="004066E4">
        <w:t>na podstawie zmiany ww. decyzji na mocy Rozporządzenia Ministra Środowiska z dnia 18 listopada 2014r. w sprawie warunków jakie należy spełnić przy wprowadzaniu ścieków do wód lub do ziemi  oraz w sprawie substancji szczególnie szkodliwych dla środowiska wodnego – pismo z dnia 16.10.2019r. znak RO.6341.32</w:t>
      </w:r>
      <w:r w:rsidR="00854076" w:rsidRPr="004066E4">
        <w:t>-5</w:t>
      </w:r>
      <w:r w:rsidRPr="004066E4">
        <w:t>.2015</w:t>
      </w:r>
      <w:r w:rsidR="00392BE1" w:rsidRPr="004066E4">
        <w:t>.</w:t>
      </w:r>
      <w:r w:rsidR="0092284F" w:rsidRPr="004066E4">
        <w:t xml:space="preserve"> Skład jakościowy ścieków oczyszczonych nie może przekraczać następujących wskaźników:</w:t>
      </w:r>
    </w:p>
    <w:tbl>
      <w:tblPr>
        <w:tblStyle w:val="Tabela-Siatka"/>
        <w:tblW w:w="0" w:type="auto"/>
        <w:tblLook w:val="04A0"/>
      </w:tblPr>
      <w:tblGrid>
        <w:gridCol w:w="675"/>
        <w:gridCol w:w="3402"/>
        <w:gridCol w:w="2832"/>
        <w:gridCol w:w="2303"/>
      </w:tblGrid>
      <w:tr w:rsidR="0092284F" w:rsidRPr="004066E4" w:rsidTr="003434AD">
        <w:tc>
          <w:tcPr>
            <w:tcW w:w="675" w:type="dxa"/>
          </w:tcPr>
          <w:p w:rsidR="0092284F" w:rsidRPr="004066E4" w:rsidRDefault="0092284F" w:rsidP="00D76FF1">
            <w:pPr>
              <w:pStyle w:val="NormalnyWeb"/>
              <w:spacing w:before="0" w:beforeAutospacing="0" w:after="0" w:afterAutospacing="0" w:line="360" w:lineRule="auto"/>
              <w:contextualSpacing/>
              <w:jc w:val="both"/>
              <w:outlineLvl w:val="0"/>
            </w:pPr>
            <w:r w:rsidRPr="004066E4">
              <w:t>Lp.</w:t>
            </w:r>
          </w:p>
        </w:tc>
        <w:tc>
          <w:tcPr>
            <w:tcW w:w="3402" w:type="dxa"/>
          </w:tcPr>
          <w:p w:rsidR="0092284F" w:rsidRPr="004066E4" w:rsidRDefault="0092284F" w:rsidP="00D76FF1">
            <w:pPr>
              <w:pStyle w:val="NormalnyWeb"/>
              <w:spacing w:before="0" w:beforeAutospacing="0" w:after="0" w:afterAutospacing="0" w:line="360" w:lineRule="auto"/>
              <w:contextualSpacing/>
              <w:jc w:val="both"/>
              <w:outlineLvl w:val="0"/>
            </w:pPr>
            <w:r w:rsidRPr="004066E4">
              <w:t>Rodzaj substancji</w:t>
            </w:r>
          </w:p>
        </w:tc>
        <w:tc>
          <w:tcPr>
            <w:tcW w:w="2832" w:type="dxa"/>
          </w:tcPr>
          <w:p w:rsidR="0092284F" w:rsidRPr="004066E4" w:rsidRDefault="0092284F" w:rsidP="00D76FF1">
            <w:pPr>
              <w:pStyle w:val="NormalnyWeb"/>
              <w:spacing w:before="0" w:beforeAutospacing="0" w:after="0" w:afterAutospacing="0" w:line="360" w:lineRule="auto"/>
              <w:contextualSpacing/>
              <w:jc w:val="both"/>
              <w:outlineLvl w:val="0"/>
            </w:pPr>
            <w:r w:rsidRPr="004066E4">
              <w:t>Jednostka</w:t>
            </w:r>
          </w:p>
        </w:tc>
        <w:tc>
          <w:tcPr>
            <w:tcW w:w="2303" w:type="dxa"/>
          </w:tcPr>
          <w:p w:rsidR="0092284F" w:rsidRPr="004066E4" w:rsidRDefault="0092284F" w:rsidP="00D76FF1">
            <w:pPr>
              <w:pStyle w:val="NormalnyWeb"/>
              <w:spacing w:before="0" w:beforeAutospacing="0" w:after="0" w:afterAutospacing="0" w:line="360" w:lineRule="auto"/>
              <w:contextualSpacing/>
              <w:jc w:val="both"/>
              <w:outlineLvl w:val="0"/>
            </w:pPr>
            <w:r w:rsidRPr="004066E4">
              <w:t>Dopuszczalna wartość</w:t>
            </w:r>
          </w:p>
        </w:tc>
      </w:tr>
      <w:tr w:rsidR="0092284F" w:rsidRPr="004066E4" w:rsidTr="003434AD">
        <w:tc>
          <w:tcPr>
            <w:tcW w:w="675" w:type="dxa"/>
          </w:tcPr>
          <w:p w:rsidR="0092284F" w:rsidRPr="004066E4" w:rsidRDefault="006B008D" w:rsidP="00D76FF1">
            <w:pPr>
              <w:pStyle w:val="NormalnyWeb"/>
              <w:spacing w:before="0" w:beforeAutospacing="0" w:after="0" w:afterAutospacing="0" w:line="360" w:lineRule="auto"/>
              <w:contextualSpacing/>
              <w:jc w:val="both"/>
              <w:outlineLvl w:val="0"/>
            </w:pPr>
            <w:r w:rsidRPr="004066E4">
              <w:t>1.</w:t>
            </w:r>
          </w:p>
        </w:tc>
        <w:tc>
          <w:tcPr>
            <w:tcW w:w="3402" w:type="dxa"/>
          </w:tcPr>
          <w:p w:rsidR="0092284F" w:rsidRPr="004066E4" w:rsidRDefault="006B008D" w:rsidP="00D76FF1">
            <w:pPr>
              <w:pStyle w:val="NormalnyWeb"/>
              <w:spacing w:before="0" w:beforeAutospacing="0" w:after="0" w:afterAutospacing="0" w:line="360" w:lineRule="auto"/>
              <w:contextualSpacing/>
              <w:jc w:val="both"/>
              <w:outlineLvl w:val="0"/>
            </w:pPr>
            <w:r w:rsidRPr="004066E4">
              <w:t>BZT</w:t>
            </w:r>
            <w:r w:rsidRPr="004066E4">
              <w:rPr>
                <w:vertAlign w:val="subscript"/>
              </w:rPr>
              <w:t>5</w:t>
            </w:r>
          </w:p>
        </w:tc>
        <w:tc>
          <w:tcPr>
            <w:tcW w:w="2832" w:type="dxa"/>
          </w:tcPr>
          <w:p w:rsidR="0092284F" w:rsidRPr="004066E4" w:rsidRDefault="003434AD" w:rsidP="008C0E29">
            <w:pPr>
              <w:pStyle w:val="NormalnyWeb"/>
              <w:spacing w:before="0" w:beforeAutospacing="0" w:after="0" w:afterAutospacing="0" w:line="360" w:lineRule="auto"/>
              <w:contextualSpacing/>
              <w:jc w:val="center"/>
              <w:outlineLvl w:val="0"/>
            </w:pPr>
            <w:r w:rsidRPr="004066E4">
              <w:t>mgO</w:t>
            </w:r>
            <w:r w:rsidRPr="004066E4">
              <w:rPr>
                <w:vertAlign w:val="subscript"/>
              </w:rPr>
              <w:t>2</w:t>
            </w:r>
            <w:r w:rsidRPr="004066E4">
              <w:t>/l</w:t>
            </w:r>
          </w:p>
          <w:p w:rsidR="008C0E29" w:rsidRPr="004066E4" w:rsidRDefault="008C0E29" w:rsidP="008C0E29">
            <w:pPr>
              <w:pStyle w:val="NormalnyWeb"/>
              <w:spacing w:before="0" w:beforeAutospacing="0" w:after="0" w:afterAutospacing="0" w:line="360" w:lineRule="auto"/>
              <w:contextualSpacing/>
              <w:jc w:val="center"/>
              <w:outlineLvl w:val="0"/>
            </w:pPr>
          </w:p>
          <w:p w:rsidR="003434AD" w:rsidRPr="004066E4" w:rsidRDefault="003434AD" w:rsidP="008C0E29">
            <w:pPr>
              <w:pStyle w:val="NormalnyWeb"/>
              <w:spacing w:before="0" w:beforeAutospacing="0" w:after="0" w:afterAutospacing="0" w:line="360" w:lineRule="auto"/>
              <w:contextualSpacing/>
              <w:jc w:val="center"/>
              <w:outlineLvl w:val="0"/>
            </w:pPr>
            <w:r w:rsidRPr="004066E4">
              <w:t>min. % redukcji</w:t>
            </w:r>
          </w:p>
        </w:tc>
        <w:tc>
          <w:tcPr>
            <w:tcW w:w="2303" w:type="dxa"/>
          </w:tcPr>
          <w:p w:rsidR="0092284F" w:rsidRPr="004066E4" w:rsidRDefault="008C0E29" w:rsidP="008C0E29">
            <w:pPr>
              <w:pStyle w:val="NormalnyWeb"/>
              <w:spacing w:before="0" w:beforeAutospacing="0" w:after="0" w:afterAutospacing="0" w:line="360" w:lineRule="auto"/>
              <w:contextualSpacing/>
              <w:jc w:val="center"/>
              <w:outlineLvl w:val="0"/>
            </w:pPr>
            <w:r w:rsidRPr="004066E4">
              <w:t>25</w:t>
            </w:r>
          </w:p>
          <w:p w:rsidR="008C0E29" w:rsidRPr="004066E4" w:rsidRDefault="008C0E29" w:rsidP="008C0E29">
            <w:pPr>
              <w:pStyle w:val="NormalnyWeb"/>
              <w:spacing w:before="0" w:beforeAutospacing="0" w:after="0" w:afterAutospacing="0" w:line="360" w:lineRule="auto"/>
              <w:contextualSpacing/>
              <w:jc w:val="center"/>
              <w:outlineLvl w:val="0"/>
            </w:pPr>
            <w:r w:rsidRPr="004066E4">
              <w:t>lub</w:t>
            </w:r>
          </w:p>
          <w:p w:rsidR="008C0E29" w:rsidRPr="004066E4" w:rsidRDefault="008C0E29" w:rsidP="008C0E29">
            <w:pPr>
              <w:pStyle w:val="NormalnyWeb"/>
              <w:spacing w:before="0" w:beforeAutospacing="0" w:after="0" w:afterAutospacing="0" w:line="360" w:lineRule="auto"/>
              <w:contextualSpacing/>
              <w:jc w:val="center"/>
              <w:outlineLvl w:val="0"/>
            </w:pPr>
            <w:r w:rsidRPr="004066E4">
              <w:t>70-90</w:t>
            </w:r>
          </w:p>
        </w:tc>
      </w:tr>
      <w:tr w:rsidR="0092284F" w:rsidRPr="004066E4" w:rsidTr="003434AD">
        <w:tc>
          <w:tcPr>
            <w:tcW w:w="675" w:type="dxa"/>
          </w:tcPr>
          <w:p w:rsidR="0092284F" w:rsidRPr="004066E4" w:rsidRDefault="006B008D" w:rsidP="00D76FF1">
            <w:pPr>
              <w:pStyle w:val="NormalnyWeb"/>
              <w:spacing w:before="0" w:beforeAutospacing="0" w:after="0" w:afterAutospacing="0" w:line="360" w:lineRule="auto"/>
              <w:contextualSpacing/>
              <w:jc w:val="both"/>
              <w:outlineLvl w:val="0"/>
            </w:pPr>
            <w:r w:rsidRPr="004066E4">
              <w:t>2.</w:t>
            </w:r>
          </w:p>
        </w:tc>
        <w:tc>
          <w:tcPr>
            <w:tcW w:w="3402" w:type="dxa"/>
          </w:tcPr>
          <w:p w:rsidR="0092284F" w:rsidRPr="004066E4" w:rsidRDefault="006B008D" w:rsidP="00D76FF1">
            <w:pPr>
              <w:pStyle w:val="NormalnyWeb"/>
              <w:spacing w:before="0" w:beforeAutospacing="0" w:after="0" w:afterAutospacing="0" w:line="360" w:lineRule="auto"/>
              <w:contextualSpacing/>
              <w:jc w:val="both"/>
              <w:outlineLvl w:val="0"/>
            </w:pPr>
            <w:proofErr w:type="spellStart"/>
            <w:r w:rsidRPr="004066E4">
              <w:t>ChZT</w:t>
            </w:r>
            <w:r w:rsidRPr="004066E4">
              <w:rPr>
                <w:vertAlign w:val="subscript"/>
              </w:rPr>
              <w:t>Cr</w:t>
            </w:r>
            <w:proofErr w:type="spellEnd"/>
          </w:p>
        </w:tc>
        <w:tc>
          <w:tcPr>
            <w:tcW w:w="2832" w:type="dxa"/>
          </w:tcPr>
          <w:p w:rsidR="0092284F" w:rsidRPr="004066E4" w:rsidRDefault="003434AD" w:rsidP="008C0E29">
            <w:pPr>
              <w:pStyle w:val="NormalnyWeb"/>
              <w:spacing w:before="0" w:beforeAutospacing="0" w:after="0" w:afterAutospacing="0" w:line="360" w:lineRule="auto"/>
              <w:contextualSpacing/>
              <w:jc w:val="center"/>
              <w:outlineLvl w:val="0"/>
            </w:pPr>
            <w:r w:rsidRPr="004066E4">
              <w:t>mgO</w:t>
            </w:r>
            <w:r w:rsidRPr="004066E4">
              <w:rPr>
                <w:vertAlign w:val="subscript"/>
              </w:rPr>
              <w:t>2</w:t>
            </w:r>
            <w:r w:rsidRPr="004066E4">
              <w:t>/l</w:t>
            </w:r>
          </w:p>
          <w:p w:rsidR="008C0E29" w:rsidRPr="004066E4" w:rsidRDefault="008C0E29" w:rsidP="008C0E29">
            <w:pPr>
              <w:pStyle w:val="NormalnyWeb"/>
              <w:spacing w:before="0" w:beforeAutospacing="0" w:after="0" w:afterAutospacing="0" w:line="360" w:lineRule="auto"/>
              <w:contextualSpacing/>
              <w:jc w:val="center"/>
              <w:outlineLvl w:val="0"/>
            </w:pPr>
          </w:p>
          <w:p w:rsidR="003434AD" w:rsidRPr="004066E4" w:rsidRDefault="003434AD" w:rsidP="008C0E29">
            <w:pPr>
              <w:pStyle w:val="NormalnyWeb"/>
              <w:spacing w:before="0" w:beforeAutospacing="0" w:after="0" w:afterAutospacing="0" w:line="360" w:lineRule="auto"/>
              <w:contextualSpacing/>
              <w:jc w:val="center"/>
              <w:outlineLvl w:val="0"/>
            </w:pPr>
            <w:r w:rsidRPr="004066E4">
              <w:t>min. % redukcji</w:t>
            </w:r>
          </w:p>
        </w:tc>
        <w:tc>
          <w:tcPr>
            <w:tcW w:w="2303" w:type="dxa"/>
          </w:tcPr>
          <w:p w:rsidR="0092284F" w:rsidRPr="004066E4" w:rsidRDefault="008C0E29" w:rsidP="008C0E29">
            <w:pPr>
              <w:pStyle w:val="NormalnyWeb"/>
              <w:spacing w:before="0" w:beforeAutospacing="0" w:after="0" w:afterAutospacing="0" w:line="360" w:lineRule="auto"/>
              <w:contextualSpacing/>
              <w:jc w:val="center"/>
              <w:outlineLvl w:val="0"/>
            </w:pPr>
            <w:r w:rsidRPr="004066E4">
              <w:t>125</w:t>
            </w:r>
          </w:p>
          <w:p w:rsidR="008C0E29" w:rsidRPr="004066E4" w:rsidRDefault="00682E46" w:rsidP="008C0E29">
            <w:pPr>
              <w:pStyle w:val="NormalnyWeb"/>
              <w:spacing w:before="0" w:beforeAutospacing="0" w:after="0" w:afterAutospacing="0" w:line="360" w:lineRule="auto"/>
              <w:contextualSpacing/>
              <w:jc w:val="center"/>
              <w:outlineLvl w:val="0"/>
            </w:pPr>
            <w:r w:rsidRPr="004066E4">
              <w:t>l</w:t>
            </w:r>
            <w:r w:rsidR="008C0E29" w:rsidRPr="004066E4">
              <w:t>ub</w:t>
            </w:r>
          </w:p>
          <w:p w:rsidR="008C0E29" w:rsidRPr="004066E4" w:rsidRDefault="008C0E29" w:rsidP="008C0E29">
            <w:pPr>
              <w:pStyle w:val="NormalnyWeb"/>
              <w:spacing w:before="0" w:beforeAutospacing="0" w:after="0" w:afterAutospacing="0" w:line="360" w:lineRule="auto"/>
              <w:contextualSpacing/>
              <w:jc w:val="center"/>
              <w:outlineLvl w:val="0"/>
            </w:pPr>
            <w:r w:rsidRPr="004066E4">
              <w:t>75</w:t>
            </w:r>
          </w:p>
        </w:tc>
      </w:tr>
      <w:tr w:rsidR="0092284F" w:rsidRPr="004066E4" w:rsidTr="003434AD">
        <w:tc>
          <w:tcPr>
            <w:tcW w:w="675" w:type="dxa"/>
          </w:tcPr>
          <w:p w:rsidR="0092284F" w:rsidRPr="004066E4" w:rsidRDefault="006B008D" w:rsidP="00D76FF1">
            <w:pPr>
              <w:pStyle w:val="NormalnyWeb"/>
              <w:spacing w:before="0" w:beforeAutospacing="0" w:after="0" w:afterAutospacing="0" w:line="360" w:lineRule="auto"/>
              <w:contextualSpacing/>
              <w:jc w:val="both"/>
              <w:outlineLvl w:val="0"/>
            </w:pPr>
            <w:r w:rsidRPr="004066E4">
              <w:t>3.</w:t>
            </w:r>
          </w:p>
        </w:tc>
        <w:tc>
          <w:tcPr>
            <w:tcW w:w="3402" w:type="dxa"/>
          </w:tcPr>
          <w:p w:rsidR="0092284F" w:rsidRPr="004066E4" w:rsidRDefault="006B008D" w:rsidP="00D76FF1">
            <w:pPr>
              <w:pStyle w:val="NormalnyWeb"/>
              <w:spacing w:before="0" w:beforeAutospacing="0" w:after="0" w:afterAutospacing="0" w:line="360" w:lineRule="auto"/>
              <w:contextualSpacing/>
              <w:jc w:val="both"/>
              <w:outlineLvl w:val="0"/>
            </w:pPr>
            <w:r w:rsidRPr="004066E4">
              <w:t>Zawiesina ogólna</w:t>
            </w:r>
          </w:p>
        </w:tc>
        <w:tc>
          <w:tcPr>
            <w:tcW w:w="2832" w:type="dxa"/>
          </w:tcPr>
          <w:p w:rsidR="0092284F" w:rsidRPr="004066E4" w:rsidRDefault="003434AD" w:rsidP="008C0E29">
            <w:pPr>
              <w:pStyle w:val="NormalnyWeb"/>
              <w:spacing w:before="0" w:beforeAutospacing="0" w:after="0" w:afterAutospacing="0" w:line="360" w:lineRule="auto"/>
              <w:contextualSpacing/>
              <w:jc w:val="center"/>
              <w:outlineLvl w:val="0"/>
            </w:pPr>
            <w:r w:rsidRPr="004066E4">
              <w:t>mg/l</w:t>
            </w:r>
          </w:p>
          <w:p w:rsidR="008C0E29" w:rsidRPr="004066E4" w:rsidRDefault="008C0E29" w:rsidP="008C0E29">
            <w:pPr>
              <w:pStyle w:val="NormalnyWeb"/>
              <w:spacing w:before="0" w:beforeAutospacing="0" w:after="0" w:afterAutospacing="0" w:line="360" w:lineRule="auto"/>
              <w:contextualSpacing/>
              <w:jc w:val="center"/>
              <w:outlineLvl w:val="0"/>
            </w:pPr>
          </w:p>
          <w:p w:rsidR="003434AD" w:rsidRPr="004066E4" w:rsidRDefault="003434AD" w:rsidP="008C0E29">
            <w:pPr>
              <w:pStyle w:val="NormalnyWeb"/>
              <w:spacing w:before="0" w:beforeAutospacing="0" w:after="0" w:afterAutospacing="0" w:line="360" w:lineRule="auto"/>
              <w:contextualSpacing/>
              <w:jc w:val="center"/>
              <w:outlineLvl w:val="0"/>
            </w:pPr>
            <w:r w:rsidRPr="004066E4">
              <w:t>min. % redukcji</w:t>
            </w:r>
          </w:p>
        </w:tc>
        <w:tc>
          <w:tcPr>
            <w:tcW w:w="2303" w:type="dxa"/>
          </w:tcPr>
          <w:p w:rsidR="0092284F" w:rsidRPr="004066E4" w:rsidRDefault="008C0E29" w:rsidP="008C0E29">
            <w:pPr>
              <w:pStyle w:val="NormalnyWeb"/>
              <w:spacing w:before="0" w:beforeAutospacing="0" w:after="0" w:afterAutospacing="0" w:line="360" w:lineRule="auto"/>
              <w:contextualSpacing/>
              <w:jc w:val="center"/>
              <w:outlineLvl w:val="0"/>
            </w:pPr>
            <w:r w:rsidRPr="004066E4">
              <w:t>35</w:t>
            </w:r>
          </w:p>
          <w:p w:rsidR="008C0E29" w:rsidRPr="004066E4" w:rsidRDefault="008C0E29" w:rsidP="008C0E29">
            <w:pPr>
              <w:pStyle w:val="NormalnyWeb"/>
              <w:spacing w:before="0" w:beforeAutospacing="0" w:after="0" w:afterAutospacing="0" w:line="360" w:lineRule="auto"/>
              <w:contextualSpacing/>
              <w:jc w:val="center"/>
              <w:outlineLvl w:val="0"/>
            </w:pPr>
            <w:r w:rsidRPr="004066E4">
              <w:t>Lub</w:t>
            </w:r>
          </w:p>
          <w:p w:rsidR="008C0E29" w:rsidRPr="004066E4" w:rsidRDefault="008C0E29" w:rsidP="008C0E29">
            <w:pPr>
              <w:pStyle w:val="NormalnyWeb"/>
              <w:spacing w:before="0" w:beforeAutospacing="0" w:after="0" w:afterAutospacing="0" w:line="360" w:lineRule="auto"/>
              <w:contextualSpacing/>
              <w:jc w:val="center"/>
              <w:outlineLvl w:val="0"/>
            </w:pPr>
            <w:r w:rsidRPr="004066E4">
              <w:t>90</w:t>
            </w:r>
          </w:p>
        </w:tc>
      </w:tr>
      <w:tr w:rsidR="003434AD" w:rsidRPr="004066E4" w:rsidTr="00016CF6">
        <w:tc>
          <w:tcPr>
            <w:tcW w:w="675" w:type="dxa"/>
          </w:tcPr>
          <w:p w:rsidR="003434AD" w:rsidRPr="004066E4" w:rsidRDefault="003434AD" w:rsidP="00D76FF1">
            <w:pPr>
              <w:pStyle w:val="NormalnyWeb"/>
              <w:spacing w:before="0" w:beforeAutospacing="0" w:after="0" w:afterAutospacing="0" w:line="360" w:lineRule="auto"/>
              <w:contextualSpacing/>
              <w:jc w:val="both"/>
              <w:outlineLvl w:val="0"/>
            </w:pPr>
            <w:r w:rsidRPr="004066E4">
              <w:t>4.</w:t>
            </w:r>
          </w:p>
        </w:tc>
        <w:tc>
          <w:tcPr>
            <w:tcW w:w="3402" w:type="dxa"/>
          </w:tcPr>
          <w:p w:rsidR="003434AD" w:rsidRPr="004066E4" w:rsidRDefault="003434AD" w:rsidP="00D76FF1">
            <w:pPr>
              <w:pStyle w:val="NormalnyWeb"/>
              <w:spacing w:before="0" w:beforeAutospacing="0" w:after="0" w:afterAutospacing="0" w:line="360" w:lineRule="auto"/>
              <w:contextualSpacing/>
              <w:jc w:val="both"/>
              <w:outlineLvl w:val="0"/>
            </w:pPr>
            <w:r w:rsidRPr="004066E4">
              <w:t>Fosfor ogólny</w:t>
            </w:r>
          </w:p>
        </w:tc>
        <w:tc>
          <w:tcPr>
            <w:tcW w:w="5135" w:type="dxa"/>
            <w:gridSpan w:val="2"/>
          </w:tcPr>
          <w:p w:rsidR="003434AD" w:rsidRPr="004066E4" w:rsidRDefault="008C0E29" w:rsidP="008C0E29">
            <w:pPr>
              <w:pStyle w:val="NormalnyWeb"/>
              <w:spacing w:before="0" w:beforeAutospacing="0" w:after="0" w:afterAutospacing="0"/>
              <w:contextualSpacing/>
              <w:jc w:val="both"/>
              <w:outlineLvl w:val="0"/>
            </w:pPr>
            <w:r w:rsidRPr="004066E4">
              <w:t>min. 70-80% redukcji w stosunku do ładunku zanieczyszczeń w ściekach dopływających do oczyszczalni.</w:t>
            </w:r>
          </w:p>
        </w:tc>
      </w:tr>
      <w:tr w:rsidR="003434AD" w:rsidRPr="004066E4" w:rsidTr="00582E31">
        <w:tc>
          <w:tcPr>
            <w:tcW w:w="675" w:type="dxa"/>
          </w:tcPr>
          <w:p w:rsidR="003434AD" w:rsidRPr="004066E4" w:rsidRDefault="003434AD" w:rsidP="00D76FF1">
            <w:pPr>
              <w:pStyle w:val="NormalnyWeb"/>
              <w:spacing w:before="0" w:beforeAutospacing="0" w:after="0" w:afterAutospacing="0" w:line="360" w:lineRule="auto"/>
              <w:contextualSpacing/>
              <w:jc w:val="both"/>
              <w:outlineLvl w:val="0"/>
            </w:pPr>
            <w:r w:rsidRPr="004066E4">
              <w:t>5.</w:t>
            </w:r>
          </w:p>
        </w:tc>
        <w:tc>
          <w:tcPr>
            <w:tcW w:w="3402" w:type="dxa"/>
          </w:tcPr>
          <w:p w:rsidR="003434AD" w:rsidRPr="004066E4" w:rsidRDefault="003434AD" w:rsidP="00D76FF1">
            <w:pPr>
              <w:pStyle w:val="NormalnyWeb"/>
              <w:spacing w:before="0" w:beforeAutospacing="0" w:after="0" w:afterAutospacing="0" w:line="360" w:lineRule="auto"/>
              <w:contextualSpacing/>
              <w:jc w:val="both"/>
              <w:outlineLvl w:val="0"/>
            </w:pPr>
            <w:r w:rsidRPr="004066E4">
              <w:t>Azot ogólny</w:t>
            </w:r>
          </w:p>
        </w:tc>
        <w:tc>
          <w:tcPr>
            <w:tcW w:w="5135" w:type="dxa"/>
            <w:gridSpan w:val="2"/>
          </w:tcPr>
          <w:p w:rsidR="003434AD" w:rsidRPr="004066E4" w:rsidRDefault="008C0E29" w:rsidP="008C0E29">
            <w:pPr>
              <w:pStyle w:val="NormalnyWeb"/>
              <w:spacing w:before="0" w:beforeAutospacing="0" w:after="0" w:afterAutospacing="0"/>
              <w:contextualSpacing/>
              <w:jc w:val="both"/>
              <w:outlineLvl w:val="0"/>
            </w:pPr>
            <w:r w:rsidRPr="004066E4">
              <w:t>min. 80% redukcji w stosunku do ładunku zanieczyszczeń w ściekach dopływających do oczyszczalni.</w:t>
            </w:r>
          </w:p>
        </w:tc>
      </w:tr>
    </w:tbl>
    <w:p w:rsidR="00D76FF1" w:rsidRPr="004066E4" w:rsidRDefault="0092284F" w:rsidP="00D76FF1">
      <w:pPr>
        <w:pStyle w:val="NormalnyWeb"/>
        <w:spacing w:before="0" w:beforeAutospacing="0" w:after="0" w:afterAutospacing="0" w:line="360" w:lineRule="auto"/>
        <w:contextualSpacing/>
        <w:jc w:val="both"/>
        <w:outlineLvl w:val="0"/>
      </w:pPr>
      <w:r w:rsidRPr="004066E4">
        <w:lastRenderedPageBreak/>
        <w:t xml:space="preserve">  </w:t>
      </w:r>
      <w:r w:rsidR="00392BE1" w:rsidRPr="004066E4">
        <w:t xml:space="preserve"> </w:t>
      </w:r>
      <w:r w:rsidR="00D76FF1" w:rsidRPr="004066E4">
        <w:t>Średnie obciążenie oczyszczalny wynosi 978,08 m</w:t>
      </w:r>
      <w:r w:rsidR="00D76FF1" w:rsidRPr="004066E4">
        <w:rPr>
          <w:vertAlign w:val="superscript"/>
        </w:rPr>
        <w:t>3</w:t>
      </w:r>
      <w:r w:rsidR="00D76FF1" w:rsidRPr="004066E4">
        <w:t>/d. Odbiornikiem oczyszczonych ścieków jest rzeka Orla (kilometraż miejsca odprowadzenia ścieków oczyszczonych: km 45+975). Skład jakościowy ścieków surowych dopływających do oczyszczalni: BZT</w:t>
      </w:r>
      <w:r w:rsidR="00D76FF1" w:rsidRPr="004066E4">
        <w:rPr>
          <w:vertAlign w:val="subscript"/>
        </w:rPr>
        <w:t xml:space="preserve">5 </w:t>
      </w:r>
      <w:r w:rsidR="00D76FF1" w:rsidRPr="004066E4">
        <w:t>[mgO</w:t>
      </w:r>
      <w:r w:rsidR="00D76FF1" w:rsidRPr="004066E4">
        <w:rPr>
          <w:vertAlign w:val="subscript"/>
        </w:rPr>
        <w:t>2</w:t>
      </w:r>
      <w:r w:rsidR="00D76FF1" w:rsidRPr="004066E4">
        <w:t xml:space="preserve">/l]- </w:t>
      </w:r>
      <w:r w:rsidR="00392BE1" w:rsidRPr="004066E4">
        <w:t>502,50</w:t>
      </w:r>
      <w:r w:rsidR="00D76FF1" w:rsidRPr="004066E4">
        <w:t xml:space="preserve">; </w:t>
      </w:r>
      <w:proofErr w:type="spellStart"/>
      <w:r w:rsidR="00D76FF1" w:rsidRPr="004066E4">
        <w:t>ChZT</w:t>
      </w:r>
      <w:r w:rsidR="00D76FF1" w:rsidRPr="004066E4">
        <w:rPr>
          <w:vertAlign w:val="subscript"/>
        </w:rPr>
        <w:t>Cr</w:t>
      </w:r>
      <w:proofErr w:type="spellEnd"/>
      <w:r w:rsidR="00D76FF1" w:rsidRPr="004066E4">
        <w:t>[mgO</w:t>
      </w:r>
      <w:r w:rsidR="00D76FF1" w:rsidRPr="004066E4">
        <w:rPr>
          <w:vertAlign w:val="subscript"/>
        </w:rPr>
        <w:t>2</w:t>
      </w:r>
      <w:r w:rsidR="00D76FF1" w:rsidRPr="004066E4">
        <w:t xml:space="preserve">/l] – </w:t>
      </w:r>
      <w:r w:rsidR="00392BE1" w:rsidRPr="004066E4">
        <w:t>1082,58</w:t>
      </w:r>
      <w:r w:rsidR="00D76FF1" w:rsidRPr="004066E4">
        <w:t xml:space="preserve">; Zawiesina ogólna [mg/l] – </w:t>
      </w:r>
      <w:r w:rsidR="00392BE1" w:rsidRPr="004066E4">
        <w:t>571,18</w:t>
      </w:r>
      <w:r w:rsidR="00D76FF1" w:rsidRPr="004066E4">
        <w:t>; Fosfor ogólny [</w:t>
      </w:r>
      <w:proofErr w:type="spellStart"/>
      <w:r w:rsidR="00D76FF1" w:rsidRPr="004066E4">
        <w:t>mgP</w:t>
      </w:r>
      <w:proofErr w:type="spellEnd"/>
      <w:r w:rsidR="00D76FF1" w:rsidRPr="004066E4">
        <w:t xml:space="preserve">/l]- </w:t>
      </w:r>
      <w:r w:rsidR="00392BE1" w:rsidRPr="004066E4">
        <w:t>17,76</w:t>
      </w:r>
      <w:r w:rsidR="00D122DB" w:rsidRPr="004066E4">
        <w:t>, Azot ogólny [</w:t>
      </w:r>
      <w:proofErr w:type="spellStart"/>
      <w:r w:rsidR="00D122DB" w:rsidRPr="004066E4">
        <w:t>mgN</w:t>
      </w:r>
      <w:proofErr w:type="spellEnd"/>
      <w:r w:rsidR="00D122DB" w:rsidRPr="004066E4">
        <w:t>/l</w:t>
      </w:r>
      <w:r w:rsidR="00D76FF1" w:rsidRPr="004066E4">
        <w:t xml:space="preserve">] – </w:t>
      </w:r>
      <w:r w:rsidR="00392BE1" w:rsidRPr="004066E4">
        <w:t>110,67</w:t>
      </w:r>
      <w:r w:rsidR="00D76FF1" w:rsidRPr="004066E4">
        <w:t>.</w:t>
      </w:r>
    </w:p>
    <w:p w:rsidR="00C333D7" w:rsidRPr="004066E4" w:rsidRDefault="00C333D7" w:rsidP="00D76FF1">
      <w:pPr>
        <w:pStyle w:val="NormalnyWeb"/>
        <w:spacing w:before="0" w:beforeAutospacing="0" w:after="0" w:afterAutospacing="0" w:line="360" w:lineRule="auto"/>
        <w:contextualSpacing/>
        <w:jc w:val="both"/>
        <w:outlineLvl w:val="0"/>
      </w:pPr>
      <w:r w:rsidRPr="004066E4">
        <w:t xml:space="preserve">Skład jakościowy ścieków </w:t>
      </w:r>
      <w:r w:rsidR="0092284F" w:rsidRPr="004066E4">
        <w:t xml:space="preserve">oczyszczonych - </w:t>
      </w:r>
      <w:r w:rsidRPr="004066E4">
        <w:t>odpływających z oczyszczalni</w:t>
      </w:r>
      <w:r w:rsidR="004E766A" w:rsidRPr="004066E4">
        <w:t>: BZT</w:t>
      </w:r>
      <w:r w:rsidR="004E766A" w:rsidRPr="004066E4">
        <w:rPr>
          <w:vertAlign w:val="subscript"/>
        </w:rPr>
        <w:t xml:space="preserve">5 </w:t>
      </w:r>
      <w:r w:rsidR="004E766A" w:rsidRPr="004066E4">
        <w:t>[mgO</w:t>
      </w:r>
      <w:r w:rsidR="004E766A" w:rsidRPr="004066E4">
        <w:rPr>
          <w:vertAlign w:val="subscript"/>
        </w:rPr>
        <w:t>2</w:t>
      </w:r>
      <w:r w:rsidR="004E766A" w:rsidRPr="004066E4">
        <w:t xml:space="preserve">/l]- 12,55; </w:t>
      </w:r>
      <w:proofErr w:type="spellStart"/>
      <w:r w:rsidR="004E766A" w:rsidRPr="004066E4">
        <w:t>ChZT</w:t>
      </w:r>
      <w:r w:rsidR="004E766A" w:rsidRPr="004066E4">
        <w:rPr>
          <w:vertAlign w:val="subscript"/>
        </w:rPr>
        <w:t>Cr</w:t>
      </w:r>
      <w:proofErr w:type="spellEnd"/>
      <w:r w:rsidR="004E766A" w:rsidRPr="004066E4">
        <w:t>[mgO</w:t>
      </w:r>
      <w:r w:rsidR="004E766A" w:rsidRPr="004066E4">
        <w:rPr>
          <w:vertAlign w:val="subscript"/>
        </w:rPr>
        <w:t>2</w:t>
      </w:r>
      <w:r w:rsidR="004E766A" w:rsidRPr="004066E4">
        <w:t>/l] – 52,89; Zawiesina ogólna [mg/l] – 9,93; Fosfor ogólny [</w:t>
      </w:r>
      <w:proofErr w:type="spellStart"/>
      <w:r w:rsidR="004E766A" w:rsidRPr="004066E4">
        <w:t>mgP</w:t>
      </w:r>
      <w:proofErr w:type="spellEnd"/>
      <w:r w:rsidR="004E766A" w:rsidRPr="004066E4">
        <w:t>/l]- 0,87</w:t>
      </w:r>
      <w:r w:rsidR="00D327ED" w:rsidRPr="004066E4">
        <w:t>, Azot ogólny [</w:t>
      </w:r>
      <w:proofErr w:type="spellStart"/>
      <w:r w:rsidR="00D327ED" w:rsidRPr="004066E4">
        <w:t>mgN</w:t>
      </w:r>
      <w:proofErr w:type="spellEnd"/>
      <w:r w:rsidR="00D327ED" w:rsidRPr="004066E4">
        <w:t>/l</w:t>
      </w:r>
      <w:r w:rsidR="004E766A" w:rsidRPr="004066E4">
        <w:t>] – 17,71.</w:t>
      </w:r>
    </w:p>
    <w:p w:rsidR="00D76FF1" w:rsidRPr="004066E4" w:rsidRDefault="00D76FF1" w:rsidP="00D76FF1">
      <w:pPr>
        <w:pStyle w:val="NormalnyWeb"/>
        <w:spacing w:before="0" w:beforeAutospacing="0" w:after="0" w:afterAutospacing="0" w:line="360" w:lineRule="auto"/>
        <w:contextualSpacing/>
        <w:jc w:val="both"/>
        <w:outlineLvl w:val="0"/>
      </w:pPr>
      <w:r w:rsidRPr="004066E4">
        <w:t xml:space="preserve">Do oczyszczalni ścieków doprowadzane są ścieki pochodzące z przemysłu odprowadzane przez zakłady produkcyjne. Zakład Przetwórstwa Mięsnego Mieczysław </w:t>
      </w:r>
      <w:proofErr w:type="spellStart"/>
      <w:r w:rsidRPr="004066E4">
        <w:t>Ciepłuch</w:t>
      </w:r>
      <w:proofErr w:type="spellEnd"/>
      <w:r w:rsidRPr="004066E4">
        <w:t xml:space="preserve">, Śmiłowo  odprowadza ścieki przemysłowe na mocy z pozwolenia wodnoprawnego: Decyzja nr RO.6341.9.2014 z dnia 6 maja 2014r., organ wydający Starostwo Powiatowe w Sępólnie Krajeńskim. Zgonie z ww. decyzją ilość ścieków odprowadzanych </w:t>
      </w:r>
      <w:proofErr w:type="spellStart"/>
      <w:r w:rsidRPr="004066E4">
        <w:t>Q</w:t>
      </w:r>
      <w:r w:rsidRPr="004066E4">
        <w:rPr>
          <w:vertAlign w:val="subscript"/>
        </w:rPr>
        <w:t>śrd</w:t>
      </w:r>
      <w:proofErr w:type="spellEnd"/>
      <w:r w:rsidRPr="004066E4">
        <w:rPr>
          <w:vertAlign w:val="subscript"/>
        </w:rPr>
        <w:t xml:space="preserve"> </w:t>
      </w:r>
      <w:r w:rsidRPr="004066E4">
        <w:t>wynosi 4,6 m</w:t>
      </w:r>
      <w:r w:rsidRPr="004066E4">
        <w:rPr>
          <w:vertAlign w:val="superscript"/>
        </w:rPr>
        <w:t>3</w:t>
      </w:r>
      <w:r w:rsidRPr="004066E4">
        <w:t xml:space="preserve">/d. Skład jakościowy ścieków przedstawia się następująco: Fosfor ogólny mg/l 3,82 – 4,58; Zawiesina ogólna mg/l 55 - 180; </w:t>
      </w:r>
      <w:proofErr w:type="spellStart"/>
      <w:r w:rsidRPr="004066E4">
        <w:t>ChZT</w:t>
      </w:r>
      <w:proofErr w:type="spellEnd"/>
      <w:r w:rsidRPr="004066E4">
        <w:t xml:space="preserve"> mgO2/l 141 - 350; BZT5 mgO2/l 100 - 560; Substancje ekstrahujące się efektem naftowym mg/l 15,00 - 26,2. </w:t>
      </w:r>
    </w:p>
    <w:p w:rsidR="00D76FF1" w:rsidRPr="004066E4" w:rsidRDefault="00D76FF1" w:rsidP="00D76FF1">
      <w:pPr>
        <w:pStyle w:val="NormalnyWeb"/>
        <w:spacing w:before="0" w:beforeAutospacing="0" w:after="0" w:afterAutospacing="0" w:line="360" w:lineRule="auto"/>
        <w:contextualSpacing/>
        <w:jc w:val="both"/>
        <w:outlineLvl w:val="0"/>
      </w:pPr>
      <w:r w:rsidRPr="004066E4">
        <w:t>P</w:t>
      </w:r>
      <w:r w:rsidR="0045781F" w:rsidRPr="004066E4">
        <w:t>rzedsiębiorstwo Wielobranżowe „</w:t>
      </w:r>
      <w:r w:rsidRPr="004066E4">
        <w:t xml:space="preserve">BEMIX” Mieszczak Benedykt ul. Złotowska 33, Więcbork odprowadza ścieki przemysłowe na mocy pozwolenia wodno prawnego: Decyzja nr BD.ZUZ.1.421.49.2019.PK z dnia 17 czerwca 2019r., organ wydający: Państwowe Gospodarstwo Wodne Wody Polskie. Zgonie z ww. decyzją ilość ścieków odprowadzanych </w:t>
      </w:r>
      <w:proofErr w:type="spellStart"/>
      <w:r w:rsidRPr="004066E4">
        <w:t>Q</w:t>
      </w:r>
      <w:r w:rsidRPr="004066E4">
        <w:rPr>
          <w:vertAlign w:val="subscript"/>
        </w:rPr>
        <w:t>śrd</w:t>
      </w:r>
      <w:proofErr w:type="spellEnd"/>
      <w:r w:rsidRPr="004066E4">
        <w:rPr>
          <w:vertAlign w:val="subscript"/>
        </w:rPr>
        <w:t xml:space="preserve"> </w:t>
      </w:r>
      <w:r w:rsidRPr="004066E4">
        <w:t>wynosi 18,00 m</w:t>
      </w:r>
      <w:r w:rsidRPr="004066E4">
        <w:rPr>
          <w:vertAlign w:val="superscript"/>
        </w:rPr>
        <w:t>3</w:t>
      </w:r>
      <w:r w:rsidRPr="004066E4">
        <w:t xml:space="preserve">/d. Skład jakościowy ścieków przedstawia się następująco: </w:t>
      </w:r>
      <w:proofErr w:type="spellStart"/>
      <w:r w:rsidRPr="004066E4">
        <w:t>pH</w:t>
      </w:r>
      <w:proofErr w:type="spellEnd"/>
      <w:r w:rsidRPr="004066E4">
        <w:t xml:space="preserve"> – 7,9; Temperatura </w:t>
      </w:r>
      <w:r w:rsidRPr="004066E4">
        <w:sym w:font="Symbol" w:char="F0B0"/>
      </w:r>
      <w:r w:rsidRPr="004066E4">
        <w:t xml:space="preserve">C 13,5; Cynk (Zn) mg/l 0,88; Zawiesina ogólna mg/l 424; </w:t>
      </w:r>
      <w:proofErr w:type="spellStart"/>
      <w:r w:rsidRPr="004066E4">
        <w:t>ChZT</w:t>
      </w:r>
      <w:proofErr w:type="spellEnd"/>
      <w:r w:rsidRPr="004066E4">
        <w:t xml:space="preserve"> mgO2/l 817; BZT5 mgO2/l 227; Fosfor ogólny mg/l 13,4; Azot azotynowy mg/l ˂ 0,10; Azot amonowy mg/l 11; Cyjanki związane mg/l ˂ 0,015; Cyjanki wolne mg/l ˂ 0,015; Chlorki (Cl) mg/l 580;  Węglowodory ropopochodne C1z- C40 (Indeks oleju mineralnego) mg/l 17,9.</w:t>
      </w:r>
    </w:p>
    <w:p w:rsidR="00D76FF1" w:rsidRPr="004066E4" w:rsidRDefault="00D76FF1" w:rsidP="00D76FF1">
      <w:pPr>
        <w:pStyle w:val="NormalnyWeb"/>
        <w:spacing w:before="0" w:beforeAutospacing="0" w:after="0" w:afterAutospacing="0" w:line="360" w:lineRule="auto"/>
        <w:contextualSpacing/>
        <w:jc w:val="both"/>
        <w:outlineLvl w:val="0"/>
      </w:pPr>
      <w:r w:rsidRPr="004066E4">
        <w:t xml:space="preserve"> Więcborskie Zakłady Metalowe WIZAMOR Sp. z o.o. ul. Starodworcowa 5, Więcbork odprowadza ścieki przemysłowe na mocy z pozwolenia wodno prawnego: Decyzja nr BD.ZUZ.1.421.118.2018.AM z dnia 3 sierpnia  2018r., organ wydający: Państwowe Gospodarstwo Wodne Wody Polskie. Zgonie z ww. decyzją ilość ścieków odprowadzanych </w:t>
      </w:r>
      <w:proofErr w:type="spellStart"/>
      <w:r w:rsidRPr="004066E4">
        <w:t>Q</w:t>
      </w:r>
      <w:r w:rsidRPr="004066E4">
        <w:rPr>
          <w:vertAlign w:val="subscript"/>
        </w:rPr>
        <w:t>śrd</w:t>
      </w:r>
      <w:proofErr w:type="spellEnd"/>
      <w:r w:rsidRPr="004066E4">
        <w:rPr>
          <w:vertAlign w:val="subscript"/>
        </w:rPr>
        <w:t xml:space="preserve"> </w:t>
      </w:r>
      <w:r w:rsidRPr="004066E4">
        <w:t>wynosi 4,5 m</w:t>
      </w:r>
      <w:r w:rsidRPr="004066E4">
        <w:rPr>
          <w:vertAlign w:val="superscript"/>
        </w:rPr>
        <w:t>3</w:t>
      </w:r>
      <w:r w:rsidRPr="004066E4">
        <w:t>/d. Skład jakościowy ścieków odprowadzanych do kanalizacji zbiorczej nie przekracza wartości wskazanych w pozwoleniu wodnoprawnym tj.: Biologiczne zapotrzebowanie (BZT</w:t>
      </w:r>
      <w:r w:rsidRPr="004066E4">
        <w:rPr>
          <w:vertAlign w:val="subscript"/>
        </w:rPr>
        <w:t>5</w:t>
      </w:r>
      <w:r w:rsidRPr="004066E4">
        <w:t>) mgO</w:t>
      </w:r>
      <w:r w:rsidRPr="004066E4">
        <w:rPr>
          <w:vertAlign w:val="subscript"/>
        </w:rPr>
        <w:t>2</w:t>
      </w:r>
      <w:r w:rsidRPr="004066E4">
        <w:t xml:space="preserve">/l – 500; Chemiczne zapotrzebowanie tlenu ( </w:t>
      </w:r>
      <w:proofErr w:type="spellStart"/>
      <w:r w:rsidRPr="004066E4">
        <w:t>ChZT</w:t>
      </w:r>
      <w:proofErr w:type="spellEnd"/>
      <w:r w:rsidRPr="004066E4">
        <w:t>) mgO</w:t>
      </w:r>
      <w:r w:rsidRPr="004066E4">
        <w:rPr>
          <w:vertAlign w:val="subscript"/>
        </w:rPr>
        <w:t>2</w:t>
      </w:r>
      <w:r w:rsidRPr="004066E4">
        <w:t xml:space="preserve">/l – 700; Zawiesina ogólna mg/l – 400; Azot amonowy </w:t>
      </w:r>
      <w:proofErr w:type="spellStart"/>
      <w:r w:rsidRPr="004066E4">
        <w:t>mgN</w:t>
      </w:r>
      <w:proofErr w:type="spellEnd"/>
      <w:r w:rsidRPr="004066E4">
        <w:t xml:space="preserve">/l – 100; Fosfor ogólny </w:t>
      </w:r>
      <w:proofErr w:type="spellStart"/>
      <w:r w:rsidRPr="004066E4">
        <w:t>mgP</w:t>
      </w:r>
      <w:proofErr w:type="spellEnd"/>
      <w:r w:rsidRPr="004066E4">
        <w:t xml:space="preserve">/l - 15;  Chlorki </w:t>
      </w:r>
      <w:proofErr w:type="spellStart"/>
      <w:r w:rsidRPr="004066E4">
        <w:t>mgCl</w:t>
      </w:r>
      <w:proofErr w:type="spellEnd"/>
      <w:r w:rsidRPr="004066E4">
        <w:t xml:space="preserve">/l – 1000; Siarczany mg/l – 500; Cynk </w:t>
      </w:r>
      <w:proofErr w:type="spellStart"/>
      <w:r w:rsidRPr="004066E4">
        <w:t>mgZn</w:t>
      </w:r>
      <w:proofErr w:type="spellEnd"/>
      <w:r w:rsidRPr="004066E4">
        <w:t xml:space="preserve">/l – 5; Chrom Cr </w:t>
      </w:r>
      <w:proofErr w:type="spellStart"/>
      <w:r w:rsidRPr="004066E4">
        <w:t>mgCr</w:t>
      </w:r>
      <w:proofErr w:type="spellEnd"/>
      <w:r w:rsidRPr="004066E4">
        <w:t xml:space="preserve">/l – 0,2, </w:t>
      </w:r>
      <w:r w:rsidRPr="004066E4">
        <w:lastRenderedPageBreak/>
        <w:t xml:space="preserve">Chrom organiczny </w:t>
      </w:r>
      <w:proofErr w:type="spellStart"/>
      <w:r w:rsidRPr="004066E4">
        <w:t>mgCr</w:t>
      </w:r>
      <w:proofErr w:type="spellEnd"/>
      <w:r w:rsidRPr="004066E4">
        <w:t xml:space="preserve">/l – 1; Miedź </w:t>
      </w:r>
      <w:proofErr w:type="spellStart"/>
      <w:r w:rsidRPr="004066E4">
        <w:t>mgCu</w:t>
      </w:r>
      <w:proofErr w:type="spellEnd"/>
      <w:r w:rsidRPr="004066E4">
        <w:t xml:space="preserve">/l – 1; Nikiel </w:t>
      </w:r>
      <w:proofErr w:type="spellStart"/>
      <w:r w:rsidRPr="004066E4">
        <w:t>mgNi</w:t>
      </w:r>
      <w:proofErr w:type="spellEnd"/>
      <w:r w:rsidRPr="004066E4">
        <w:t xml:space="preserve">/l – 1; Ołów </w:t>
      </w:r>
      <w:proofErr w:type="spellStart"/>
      <w:r w:rsidRPr="004066E4">
        <w:t>mgPb</w:t>
      </w:r>
      <w:proofErr w:type="spellEnd"/>
      <w:r w:rsidRPr="004066E4">
        <w:t xml:space="preserve">/l – 1, Odczyn </w:t>
      </w:r>
      <w:proofErr w:type="spellStart"/>
      <w:r w:rsidRPr="004066E4">
        <w:t>pH</w:t>
      </w:r>
      <w:proofErr w:type="spellEnd"/>
      <w:r w:rsidRPr="004066E4">
        <w:t xml:space="preserve"> 8-10; Temperatura </w:t>
      </w:r>
      <w:r w:rsidRPr="004066E4">
        <w:sym w:font="Symbol" w:char="F0B0"/>
      </w:r>
      <w:r w:rsidRPr="004066E4">
        <w:t xml:space="preserve"> C 35; Substancje ekstrahujące się eterem naftowym mg/l – 100. Zarówno do istniejącej jak i przewidzianej do budowy sieci kanalizacji sanitarnej nie planuje się podłączenia innych zakładów przemysłowych.</w:t>
      </w:r>
    </w:p>
    <w:p w:rsidR="006F380B" w:rsidRDefault="00D76FF1" w:rsidP="00D33CB2">
      <w:pPr>
        <w:pStyle w:val="NormalnyWeb"/>
        <w:spacing w:before="0" w:beforeAutospacing="0" w:after="0" w:afterAutospacing="0" w:line="360" w:lineRule="auto"/>
        <w:contextualSpacing/>
        <w:jc w:val="both"/>
        <w:outlineLvl w:val="0"/>
        <w:rPr>
          <w:strike/>
        </w:rPr>
      </w:pPr>
      <w:r w:rsidRPr="004066E4">
        <w:t>Na terenie Aglomeracji Więcbork istnieją również indywidualne systemy oczyszczania ścieków komunalnych tj. przydomowe oczyszczalnie ścieków w ilości 12 przydomowych oczyszczalni ścieków oraz 84 zbiorniki bezodpływowe, z których ścieki dowożone są do oczyszczalni ścieków wozami asenizacyjnymi</w:t>
      </w:r>
      <w:r w:rsidRPr="006249D1">
        <w:t xml:space="preserve">. </w:t>
      </w:r>
    </w:p>
    <w:p w:rsidR="00D76FF1" w:rsidRPr="006249D1" w:rsidRDefault="00D76FF1" w:rsidP="00D33CB2">
      <w:pPr>
        <w:pStyle w:val="NormalnyWeb"/>
        <w:spacing w:before="0" w:beforeAutospacing="0" w:after="0" w:afterAutospacing="0" w:line="360" w:lineRule="auto"/>
        <w:contextualSpacing/>
        <w:jc w:val="both"/>
        <w:outlineLvl w:val="0"/>
      </w:pPr>
      <w:r w:rsidRPr="006249D1">
        <w:t>Na terenie Aglomeracji Więcbork ujęcia wody zlokalizowane są w miejscowościach:</w:t>
      </w:r>
    </w:p>
    <w:p w:rsidR="00D76FF1" w:rsidRPr="006249D1" w:rsidRDefault="00D76FF1" w:rsidP="00D76FF1">
      <w:pPr>
        <w:pStyle w:val="Akapitzlist"/>
        <w:numPr>
          <w:ilvl w:val="0"/>
          <w:numId w:val="2"/>
        </w:numPr>
        <w:spacing w:after="0" w:line="360" w:lineRule="auto"/>
        <w:jc w:val="both"/>
        <w:rPr>
          <w:rFonts w:ascii="Times New Roman" w:hAnsi="Times New Roman"/>
          <w:sz w:val="24"/>
          <w:szCs w:val="24"/>
        </w:rPr>
      </w:pPr>
      <w:r w:rsidRPr="006249D1">
        <w:rPr>
          <w:rFonts w:ascii="Times New Roman" w:hAnsi="Times New Roman"/>
          <w:sz w:val="24"/>
          <w:szCs w:val="24"/>
        </w:rPr>
        <w:t xml:space="preserve">Runowo Krajeńskie – działki oznaczone numerami geodezyjnymi 117/6 i 293/9, obręb Runowo Krajeńskie. Pobór wody na podstawie pozwolenia wodnoprawnego na szczególne korzystanie z wód - Decyzja Starosty Sępoleńskiego nr RO.6341.37.2015 </w:t>
      </w:r>
      <w:r w:rsidR="0076006E">
        <w:rPr>
          <w:rFonts w:ascii="Times New Roman" w:hAnsi="Times New Roman"/>
          <w:sz w:val="24"/>
          <w:szCs w:val="24"/>
        </w:rPr>
        <w:br/>
      </w:r>
      <w:r w:rsidRPr="006249D1">
        <w:rPr>
          <w:rFonts w:ascii="Times New Roman" w:hAnsi="Times New Roman"/>
          <w:sz w:val="24"/>
          <w:szCs w:val="24"/>
        </w:rPr>
        <w:t xml:space="preserve">z dnia 10 grudnia 2015r.  Ujęcie objęte jest strefą ochrony bezpośredniej o promieniu 8 m w dotychczasowych odległościach od obudowy studni, w ramach istniejącego ogrodzenia. Na terenie ochrony bezpośredniej należy: odprowadzać wody opadowe </w:t>
      </w:r>
      <w:r w:rsidRPr="006249D1">
        <w:rPr>
          <w:rFonts w:ascii="Times New Roman" w:hAnsi="Times New Roman"/>
          <w:sz w:val="24"/>
          <w:szCs w:val="24"/>
        </w:rPr>
        <w:br/>
        <w:t xml:space="preserve">w sposób uniemożliwiający  przedostanie się ich do urządzeń służących do poboru wód, zagospodarować teren zielenią, ograniczyć do niezbędnych potrzeb przebywanie osób niezatrudnionych przy obsłudze urządzeń służących do poboru wody, umieścić tablice na ogrodzeniu, zawierające informacje o ujęciu wody i zakazu wstępu osób nieupoważnionych, włazy w pokrywach obudów należy zabezpieczyć przed dostępem do osób nieupoważnionych, na obudowach należy umieścić numery otworów zgodnie z podanymi w dokumentacji.  </w:t>
      </w:r>
    </w:p>
    <w:p w:rsidR="00D76FF1" w:rsidRPr="006249D1" w:rsidRDefault="00D76FF1" w:rsidP="00D76FF1">
      <w:pPr>
        <w:pStyle w:val="Akapitzlist"/>
        <w:numPr>
          <w:ilvl w:val="0"/>
          <w:numId w:val="2"/>
        </w:numPr>
        <w:spacing w:after="0" w:line="360" w:lineRule="auto"/>
        <w:jc w:val="both"/>
        <w:rPr>
          <w:rFonts w:ascii="Times New Roman" w:hAnsi="Times New Roman"/>
          <w:sz w:val="24"/>
          <w:szCs w:val="24"/>
        </w:rPr>
      </w:pPr>
      <w:r w:rsidRPr="006249D1">
        <w:rPr>
          <w:rFonts w:ascii="Times New Roman" w:hAnsi="Times New Roman"/>
          <w:sz w:val="24"/>
          <w:szCs w:val="24"/>
        </w:rPr>
        <w:t xml:space="preserve">Więcbork – działka oznaczona numerem geodezyjnym 63, obręb Więcbork 3. Pobór wody na podstawie pozwolenia wodnoprawnego na szczególne korzystanie z wód - Decyzja Starosty Sępoleńskiego nr RO.6341.34.2015 z dnia 10 grudnia 2015r. Ujęcie objęte jest strefą ochrony bezpośredniej o promieniu 9 m w dotychczasowych odległościach od obudowy studni, w ramach istniejącego ogrodzenia. Na terenie ochrony bezpośredniej należy: odprowadzać wody opadowe w sposób uniemożliwiający  przedostanie się ich do urządzeń służących do poboru wód, zagospodarować teren zielenią, ograniczyć do niezbędnych potrzeb przebywanie osób niezatrudnionych przy obsłudze urządzeń służących do poboru wody, umieścić tablice na ogrodzeniu, zawierające informacje o ujęciu wody i zakazu wstępu osób nieupoważnionych, włazy w pokrywach obudów należy zabezpieczyć przed dostępem </w:t>
      </w:r>
      <w:r w:rsidRPr="006249D1">
        <w:rPr>
          <w:rFonts w:ascii="Times New Roman" w:hAnsi="Times New Roman"/>
          <w:sz w:val="24"/>
          <w:szCs w:val="24"/>
        </w:rPr>
        <w:lastRenderedPageBreak/>
        <w:t xml:space="preserve">do osób nieupoważnionych, na obudowach należy umieścić numery otworów zgodnie z podanymi w dokumentacji.  </w:t>
      </w:r>
    </w:p>
    <w:p w:rsidR="00D76FF1" w:rsidRPr="006249D1" w:rsidRDefault="00D76FF1" w:rsidP="00D76FF1">
      <w:pPr>
        <w:pStyle w:val="Akapitzlist"/>
        <w:numPr>
          <w:ilvl w:val="0"/>
          <w:numId w:val="2"/>
        </w:numPr>
        <w:spacing w:after="0" w:line="360" w:lineRule="auto"/>
        <w:jc w:val="both"/>
        <w:rPr>
          <w:rFonts w:ascii="Times New Roman" w:hAnsi="Times New Roman"/>
          <w:sz w:val="24"/>
          <w:szCs w:val="24"/>
        </w:rPr>
      </w:pPr>
      <w:r w:rsidRPr="006249D1">
        <w:rPr>
          <w:rFonts w:ascii="Times New Roman" w:hAnsi="Times New Roman"/>
          <w:sz w:val="24"/>
          <w:szCs w:val="24"/>
        </w:rPr>
        <w:t xml:space="preserve">Witunia – działki oznaczone numerami geodezyjnymi 170/2 i 174/9, obręb Witunia. Pobór wody na podstawie pozwolenia wodnoprawnego na szczególne korzystanie </w:t>
      </w:r>
      <w:r w:rsidRPr="006249D1">
        <w:rPr>
          <w:rFonts w:ascii="Times New Roman" w:hAnsi="Times New Roman"/>
          <w:sz w:val="24"/>
          <w:szCs w:val="24"/>
        </w:rPr>
        <w:br/>
        <w:t xml:space="preserve">z wód - Decyzja Starosty Sępoleńskiego nr RO.6341.35.2015 </w:t>
      </w:r>
      <w:r w:rsidRPr="006249D1">
        <w:rPr>
          <w:rFonts w:ascii="Times New Roman" w:hAnsi="Times New Roman"/>
          <w:sz w:val="24"/>
          <w:szCs w:val="24"/>
        </w:rPr>
        <w:br/>
        <w:t xml:space="preserve">z dnia 10 grudnia 2015r.  Ujęcie objęte jest strefą ochrony bezpośredniej o promieniu 9 m w dotychczasowych odległościach od obudowy studni, w ramach istniejącego ogrodzenia. Na terenie ochrony bezpośredniej należy: odprowadzać wody opadowe w sposób uniemożliwiający  przedostanie się ich do urządzeń służących do poboru wód, zagospodarować teren zielenią, ograniczyć do niezbędnych potrzeb przebywanie osób niezatrudnionych przy obsłudze urządzeń służących do poboru wody, umieścić tablice na ogrodzeniu, zawierające informacje o ujęciu wody i zakazu wstępu osób nieupoważnionych, włazy w pokrywach obudów należy zabezpieczyć przed dostępem do osób nieupoważnionych, na obudowach należy umieścić numery otworów zgodnie z podanymi w dokumentacji.  </w:t>
      </w:r>
    </w:p>
    <w:p w:rsidR="00D76FF1" w:rsidRPr="006249D1" w:rsidRDefault="00D76FF1" w:rsidP="00D76FF1">
      <w:pPr>
        <w:pStyle w:val="Akapitzlist"/>
        <w:numPr>
          <w:ilvl w:val="0"/>
          <w:numId w:val="2"/>
        </w:numPr>
        <w:spacing w:after="0" w:line="360" w:lineRule="auto"/>
        <w:jc w:val="both"/>
        <w:rPr>
          <w:rFonts w:ascii="Times New Roman" w:hAnsi="Times New Roman"/>
          <w:sz w:val="24"/>
          <w:szCs w:val="24"/>
        </w:rPr>
      </w:pPr>
      <w:r w:rsidRPr="006249D1">
        <w:rPr>
          <w:rFonts w:ascii="Times New Roman" w:hAnsi="Times New Roman"/>
          <w:sz w:val="24"/>
          <w:szCs w:val="24"/>
        </w:rPr>
        <w:t xml:space="preserve">Pęperzyn – działka oznaczona numerem geodezyjnym 391, obręb Pęperzyn. Pobór wody na podstawie pozwolenia wodnoprawnego na pobór wód podziemnych - Decyzja  Starosty Sępoleńskiego nr RO.6223/15/10 z dnia 25 października 2010r. Ujęcie objęte jest strefą ochrony bezpośredniej w dotychczasowej  8 m odległości od obudowy studni, w ramach istniejącego ogrodzenia. Na terenie ochrony bezpośredniej należy: odprowadzać wody opadowe w sposób uniemożliwiający  przedostanie się ich do urządzeń służących do poboru wód, zagospodarować teren zielenią, ograniczyć do niezbędnych potrzeb przebywanie osób niezatrudnionych przy obsłudze urządzeń służących do poboru wody, umieścić tablice na ogrodzeniu, zawierające informacje o ujęciu wody i zakazu wstępu osób nieupoważnionych, włazy w pokrywach obudów należy zabezpieczyć przed dostępem do osób nieupoważnionych, na obudowach należy umieścić numery otworów zgodnie z podanymi w dokumentacji.  </w:t>
      </w:r>
    </w:p>
    <w:p w:rsidR="00D76FF1" w:rsidRPr="006249D1" w:rsidRDefault="00D76FF1" w:rsidP="00D76FF1">
      <w:pPr>
        <w:pStyle w:val="Akapitzlist"/>
        <w:spacing w:after="0" w:line="360" w:lineRule="auto"/>
        <w:ind w:left="0" w:firstLine="708"/>
        <w:jc w:val="both"/>
        <w:rPr>
          <w:rFonts w:ascii="Times New Roman" w:hAnsi="Times New Roman"/>
          <w:sz w:val="24"/>
          <w:szCs w:val="24"/>
        </w:rPr>
      </w:pPr>
      <w:r w:rsidRPr="006249D1">
        <w:rPr>
          <w:rFonts w:ascii="Times New Roman" w:hAnsi="Times New Roman"/>
          <w:sz w:val="24"/>
          <w:szCs w:val="24"/>
        </w:rPr>
        <w:t xml:space="preserve">Zgodnie z uchwałą  Nr X/229/15 Sejmiku Województwa Kujawsko - Pomorskiego </w:t>
      </w:r>
      <w:r w:rsidRPr="006249D1">
        <w:rPr>
          <w:rFonts w:ascii="Times New Roman" w:hAnsi="Times New Roman"/>
          <w:sz w:val="24"/>
          <w:szCs w:val="24"/>
        </w:rPr>
        <w:br/>
        <w:t xml:space="preserve">z dnia 24 sierpnia 2015r. w sprawie Krajeńskiego Parku Krajobrazowego (Dz. Urz. Woj. Kujawsko-Pomorskiego, poz. 2550, z </w:t>
      </w:r>
      <w:proofErr w:type="spellStart"/>
      <w:r w:rsidRPr="006249D1">
        <w:rPr>
          <w:rFonts w:ascii="Times New Roman" w:hAnsi="Times New Roman"/>
          <w:sz w:val="24"/>
          <w:szCs w:val="24"/>
        </w:rPr>
        <w:t>późn</w:t>
      </w:r>
      <w:proofErr w:type="spellEnd"/>
      <w:r w:rsidRPr="006249D1">
        <w:rPr>
          <w:rFonts w:ascii="Times New Roman" w:hAnsi="Times New Roman"/>
          <w:sz w:val="24"/>
          <w:szCs w:val="24"/>
        </w:rPr>
        <w:t xml:space="preserve">. zm.) Gminę Więcbork w większości pokrywa Krajeński Park Krajobrazowy. Krajeński Park Krajobrazowy został utworzony na podstawie Rozporządzenia nr 24/98 Wojewody Bydgoskiego z dnia 17 sierpnia 1998 r. w sprawie utworzenia parku krajobrazowego pod nazwą Krajeński Park Krajobrazowy, opublikowanego </w:t>
      </w:r>
      <w:r w:rsidRPr="006249D1">
        <w:rPr>
          <w:rFonts w:ascii="Times New Roman" w:hAnsi="Times New Roman"/>
          <w:sz w:val="24"/>
          <w:szCs w:val="24"/>
        </w:rPr>
        <w:lastRenderedPageBreak/>
        <w:t>w Dziennik Urzędowy Województwa Bydgoskiego (</w:t>
      </w:r>
      <w:proofErr w:type="spellStart"/>
      <w:r w:rsidRPr="006249D1">
        <w:rPr>
          <w:rFonts w:ascii="Times New Roman" w:hAnsi="Times New Roman"/>
          <w:sz w:val="24"/>
          <w:szCs w:val="24"/>
        </w:rPr>
        <w:t>Dz.Urz</w:t>
      </w:r>
      <w:proofErr w:type="spellEnd"/>
      <w:r w:rsidRPr="006249D1">
        <w:rPr>
          <w:rFonts w:ascii="Times New Roman" w:hAnsi="Times New Roman"/>
          <w:sz w:val="24"/>
          <w:szCs w:val="24"/>
        </w:rPr>
        <w:t>. Woj. Bydgoskiego Nr 61, poz. 344 z dnia 5 października 1998 r.).</w:t>
      </w:r>
    </w:p>
    <w:p w:rsidR="00D76FF1" w:rsidRPr="006249D1" w:rsidRDefault="00D76FF1" w:rsidP="00D76FF1">
      <w:pPr>
        <w:pStyle w:val="Akapitzlist"/>
        <w:spacing w:after="0" w:line="360" w:lineRule="auto"/>
        <w:ind w:left="0"/>
        <w:jc w:val="both"/>
        <w:rPr>
          <w:rFonts w:ascii="Times New Roman" w:hAnsi="Times New Roman"/>
          <w:sz w:val="24"/>
          <w:szCs w:val="24"/>
        </w:rPr>
      </w:pPr>
      <w:r w:rsidRPr="006249D1">
        <w:rPr>
          <w:rFonts w:ascii="Times New Roman" w:hAnsi="Times New Roman"/>
          <w:sz w:val="24"/>
          <w:szCs w:val="24"/>
        </w:rPr>
        <w:t>Ponadto na terenie Aglomeracji Więcbork zlokalizowane są następujące pomniki przyrody:</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Bluszcz pospolity (</w:t>
      </w:r>
      <w:proofErr w:type="spellStart"/>
      <w:r w:rsidRPr="006249D1">
        <w:rPr>
          <w:rFonts w:ascii="Times New Roman" w:hAnsi="Times New Roman"/>
          <w:sz w:val="24"/>
          <w:szCs w:val="24"/>
        </w:rPr>
        <w:t>Hedera</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helix</w:t>
      </w:r>
      <w:proofErr w:type="spellEnd"/>
      <w:r w:rsidRPr="006249D1">
        <w:rPr>
          <w:rFonts w:ascii="Times New Roman" w:hAnsi="Times New Roman"/>
          <w:sz w:val="24"/>
          <w:szCs w:val="24"/>
        </w:rPr>
        <w:t xml:space="preserve">)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  teren Lasu Miejskiego. Pomnik przyrody ustanowiony  na podstawie Uchwały Nr XIII/92/07 Rady Miejskiej w Więcborku z dnia 25 października 2007 r. w sprawie ustanowienia pomników przyrody, opublikowanej w  </w:t>
      </w:r>
      <w:r w:rsidRPr="006249D1">
        <w:rPr>
          <w:rFonts w:ascii="Times New Roman" w:eastAsia="Times New Roman" w:hAnsi="Times New Roman"/>
          <w:sz w:val="24"/>
          <w:szCs w:val="24"/>
          <w:lang w:eastAsia="pl-PL"/>
        </w:rPr>
        <w:t>Dz. Urz. Woj. Kujawsko-Pomorskiego (Dz. Urz. Woj. Kuj.-Pom. 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Buk pospolity (Buk zwyczajny) - </w:t>
      </w:r>
      <w:proofErr w:type="spellStart"/>
      <w:r w:rsidRPr="006249D1">
        <w:rPr>
          <w:rFonts w:ascii="Times New Roman" w:hAnsi="Times New Roman"/>
          <w:sz w:val="24"/>
          <w:szCs w:val="24"/>
        </w:rPr>
        <w:t>Fagus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sylvatica</w:t>
      </w:r>
      <w:proofErr w:type="spellEnd"/>
      <w:r w:rsidRPr="006249D1">
        <w:rPr>
          <w:rFonts w:ascii="Times New Roman" w:hAnsi="Times New Roman"/>
          <w:sz w:val="24"/>
          <w:szCs w:val="24"/>
        </w:rPr>
        <w:t xml:space="preserve">, Wysokość [m]: 22, Pierśnica [cm]: 85 -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 teren Lasu Miejskiego. Pomnik przyrody ustanowiony  na podstawie Uchwały Nr XIII/92/07 Rady Miejskiej w Więcborku </w:t>
      </w:r>
      <w:r w:rsidRPr="006249D1">
        <w:rPr>
          <w:rFonts w:ascii="Times New Roman" w:hAnsi="Times New Roman"/>
          <w:sz w:val="24"/>
          <w:szCs w:val="24"/>
        </w:rPr>
        <w:br/>
        <w:t xml:space="preserve">z dnia 25 października 2007 r. w sprawie ustanowienia pomników przyrody, opublikowanej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Kuj.-Pom. </w:t>
      </w:r>
      <w:r w:rsidRPr="006249D1">
        <w:rPr>
          <w:rFonts w:ascii="Times New Roman" w:hAnsi="Times New Roman"/>
          <w:sz w:val="24"/>
          <w:szCs w:val="24"/>
        </w:rPr>
        <w:br/>
        <w:t>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Buk pospolity (Buk zwyczajny) - </w:t>
      </w:r>
      <w:proofErr w:type="spellStart"/>
      <w:r w:rsidRPr="006249D1">
        <w:rPr>
          <w:rFonts w:ascii="Times New Roman" w:hAnsi="Times New Roman"/>
          <w:sz w:val="24"/>
          <w:szCs w:val="24"/>
        </w:rPr>
        <w:t>Fagus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sylvatica</w:t>
      </w:r>
      <w:proofErr w:type="spellEnd"/>
      <w:r w:rsidRPr="006249D1">
        <w:rPr>
          <w:rFonts w:ascii="Times New Roman" w:hAnsi="Times New Roman"/>
          <w:sz w:val="24"/>
          <w:szCs w:val="24"/>
        </w:rPr>
        <w:t xml:space="preserve">, Wysokość [m]: 22, Pierśnica [cm]: 75 -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 teren Lasu Miejskiego. Pomnik przyrody ustanowiony  na podstawie Uchwały Nr XIII/92/07 Rady Miejskiej w Więcborku </w:t>
      </w:r>
      <w:r w:rsidRPr="006249D1">
        <w:rPr>
          <w:rFonts w:ascii="Times New Roman" w:hAnsi="Times New Roman"/>
          <w:sz w:val="24"/>
          <w:szCs w:val="24"/>
        </w:rPr>
        <w:br/>
        <w:t xml:space="preserve">z dnia 25 października 2007 r. w sprawie ustanowienia pomników przyrody, opublikowanej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Kuj.-Pom. </w:t>
      </w:r>
      <w:r w:rsidRPr="006249D1">
        <w:rPr>
          <w:rFonts w:ascii="Times New Roman" w:hAnsi="Times New Roman"/>
          <w:sz w:val="24"/>
          <w:szCs w:val="24"/>
        </w:rPr>
        <w:br/>
        <w:t>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Buk pospolity (Buk zwyczajny) - </w:t>
      </w:r>
      <w:proofErr w:type="spellStart"/>
      <w:r w:rsidRPr="006249D1">
        <w:rPr>
          <w:rFonts w:ascii="Times New Roman" w:hAnsi="Times New Roman"/>
          <w:sz w:val="24"/>
          <w:szCs w:val="24"/>
        </w:rPr>
        <w:t>Fagus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sylvatica</w:t>
      </w:r>
      <w:proofErr w:type="spellEnd"/>
      <w:r w:rsidRPr="006249D1">
        <w:rPr>
          <w:rFonts w:ascii="Times New Roman" w:hAnsi="Times New Roman"/>
          <w:sz w:val="24"/>
          <w:szCs w:val="24"/>
        </w:rPr>
        <w:t xml:space="preserve">, Wysokość [m]: 22, Pierśnica [cm]: 68 -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w:t>
      </w:r>
      <w:r w:rsidRPr="006249D1">
        <w:rPr>
          <w:rFonts w:ascii="Times New Roman" w:hAnsi="Times New Roman"/>
          <w:sz w:val="24"/>
          <w:szCs w:val="24"/>
        </w:rPr>
        <w:br/>
        <w:t xml:space="preserve">z dnia 25 października 2007 r. w sprawie ustanowienia pomników przyrody, opublikowanej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Kuj.-Pom. </w:t>
      </w:r>
      <w:r w:rsidRPr="006249D1">
        <w:rPr>
          <w:rFonts w:ascii="Times New Roman" w:hAnsi="Times New Roman"/>
          <w:sz w:val="24"/>
          <w:szCs w:val="24"/>
        </w:rPr>
        <w:br/>
        <w:t>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Buk pospolity (Buk zwyczajny) - </w:t>
      </w:r>
      <w:proofErr w:type="spellStart"/>
      <w:r w:rsidRPr="006249D1">
        <w:rPr>
          <w:rFonts w:ascii="Times New Roman" w:hAnsi="Times New Roman"/>
          <w:sz w:val="24"/>
          <w:szCs w:val="24"/>
        </w:rPr>
        <w:t>Fagus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sylvatica</w:t>
      </w:r>
      <w:proofErr w:type="spellEnd"/>
      <w:r w:rsidRPr="006249D1">
        <w:rPr>
          <w:rFonts w:ascii="Times New Roman" w:hAnsi="Times New Roman"/>
          <w:sz w:val="24"/>
          <w:szCs w:val="24"/>
        </w:rPr>
        <w:t xml:space="preserve"> Wysokość [m]: 22, Pierśnica [cm]: 88 -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w:t>
      </w:r>
      <w:r w:rsidRPr="006249D1">
        <w:rPr>
          <w:rFonts w:ascii="Times New Roman" w:hAnsi="Times New Roman"/>
          <w:sz w:val="24"/>
          <w:szCs w:val="24"/>
        </w:rPr>
        <w:br/>
        <w:t xml:space="preserve">z dnia 25 października 2007 r. w sprawie ustanowienia pomników przyrody, opublikowanej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Kuj.-Pom. </w:t>
      </w:r>
      <w:r w:rsidRPr="006249D1">
        <w:rPr>
          <w:rFonts w:ascii="Times New Roman" w:hAnsi="Times New Roman"/>
          <w:sz w:val="24"/>
          <w:szCs w:val="24"/>
        </w:rPr>
        <w:br/>
        <w:t>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lastRenderedPageBreak/>
        <w:t xml:space="preserve">Buk pospolity (Buk zwyczajny) - </w:t>
      </w:r>
      <w:proofErr w:type="spellStart"/>
      <w:r w:rsidRPr="006249D1">
        <w:rPr>
          <w:rFonts w:ascii="Times New Roman" w:hAnsi="Times New Roman"/>
          <w:sz w:val="24"/>
          <w:szCs w:val="24"/>
        </w:rPr>
        <w:t>Fagus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sylvatica</w:t>
      </w:r>
      <w:proofErr w:type="spellEnd"/>
      <w:r w:rsidRPr="006249D1">
        <w:rPr>
          <w:rFonts w:ascii="Times New Roman" w:hAnsi="Times New Roman"/>
          <w:sz w:val="24"/>
          <w:szCs w:val="24"/>
        </w:rPr>
        <w:t xml:space="preserve"> Wysokość [m]: 24, Pierśnica [cm]: 85 -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w:t>
      </w:r>
      <w:r w:rsidRPr="006249D1">
        <w:rPr>
          <w:rFonts w:ascii="Times New Roman" w:hAnsi="Times New Roman"/>
          <w:sz w:val="24"/>
          <w:szCs w:val="24"/>
        </w:rPr>
        <w:br/>
        <w:t xml:space="preserve">z dnia 25 października 2007 r. w sprawie ustanowienia pomników przyrody, opublikowanej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Kuj.-Pom. </w:t>
      </w:r>
      <w:r w:rsidRPr="006249D1">
        <w:rPr>
          <w:rFonts w:ascii="Times New Roman" w:hAnsi="Times New Roman"/>
          <w:sz w:val="24"/>
          <w:szCs w:val="24"/>
        </w:rPr>
        <w:br/>
        <w:t>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Dąb szypułkowy - </w:t>
      </w:r>
      <w:proofErr w:type="spellStart"/>
      <w:r w:rsidRPr="006249D1">
        <w:rPr>
          <w:rFonts w:ascii="Times New Roman" w:hAnsi="Times New Roman"/>
          <w:sz w:val="24"/>
          <w:szCs w:val="24"/>
        </w:rPr>
        <w:t>Quercus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robur</w:t>
      </w:r>
      <w:proofErr w:type="spellEnd"/>
      <w:r w:rsidRPr="006249D1">
        <w:rPr>
          <w:rFonts w:ascii="Times New Roman" w:hAnsi="Times New Roman"/>
          <w:sz w:val="24"/>
          <w:szCs w:val="24"/>
        </w:rPr>
        <w:t xml:space="preserve"> Wysokość [m]: 24, Pierśnica [cm]: 108 -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z dnia 25 października 2007 r. w sprawie ustanowienia pomników przyrody, opublikowanej </w:t>
      </w:r>
      <w:r w:rsidRPr="006249D1">
        <w:rPr>
          <w:rFonts w:ascii="Times New Roman" w:hAnsi="Times New Roman"/>
          <w:sz w:val="24"/>
          <w:szCs w:val="24"/>
        </w:rPr>
        <w:br/>
        <w:t xml:space="preserve">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Dz. Urz. Woj. Kuj.-Pom. 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Dąb szypułkowy - </w:t>
      </w:r>
      <w:proofErr w:type="spellStart"/>
      <w:r w:rsidRPr="006249D1">
        <w:rPr>
          <w:rFonts w:ascii="Times New Roman" w:hAnsi="Times New Roman"/>
          <w:sz w:val="24"/>
          <w:szCs w:val="24"/>
        </w:rPr>
        <w:t>Quercus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robur</w:t>
      </w:r>
      <w:proofErr w:type="spellEnd"/>
      <w:r w:rsidRPr="006249D1">
        <w:rPr>
          <w:rFonts w:ascii="Times New Roman" w:hAnsi="Times New Roman"/>
          <w:sz w:val="24"/>
          <w:szCs w:val="24"/>
        </w:rPr>
        <w:t xml:space="preserve"> Wysokość [m]: 24, Pierśnica [cm]: 92 -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z dnia 25 października 2007 r. w sprawie ustanowienia pomników przyrody, opublikowanej </w:t>
      </w:r>
      <w:r w:rsidRPr="006249D1">
        <w:rPr>
          <w:rFonts w:ascii="Times New Roman" w:hAnsi="Times New Roman"/>
          <w:sz w:val="24"/>
          <w:szCs w:val="24"/>
        </w:rPr>
        <w:br/>
        <w:t xml:space="preserve">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Dz. Urz. Woj. Kuj.-Pom. 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Dąb szypułkowy - </w:t>
      </w:r>
      <w:proofErr w:type="spellStart"/>
      <w:r w:rsidRPr="006249D1">
        <w:rPr>
          <w:rFonts w:ascii="Times New Roman" w:hAnsi="Times New Roman"/>
          <w:sz w:val="24"/>
          <w:szCs w:val="24"/>
        </w:rPr>
        <w:t>Quercus</w:t>
      </w:r>
      <w:proofErr w:type="spellEnd"/>
      <w:r w:rsidRPr="006249D1">
        <w:rPr>
          <w:rFonts w:ascii="Times New Roman" w:hAnsi="Times New Roman"/>
          <w:sz w:val="24"/>
          <w:szCs w:val="24"/>
        </w:rPr>
        <w:t xml:space="preserve"> </w:t>
      </w:r>
      <w:proofErr w:type="spellStart"/>
      <w:r w:rsidRPr="006249D1">
        <w:rPr>
          <w:rFonts w:ascii="Times New Roman" w:hAnsi="Times New Roman"/>
          <w:sz w:val="24"/>
          <w:szCs w:val="24"/>
        </w:rPr>
        <w:t>robur</w:t>
      </w:r>
      <w:proofErr w:type="spellEnd"/>
      <w:r w:rsidRPr="006249D1">
        <w:rPr>
          <w:rFonts w:ascii="Times New Roman" w:hAnsi="Times New Roman"/>
          <w:sz w:val="24"/>
          <w:szCs w:val="24"/>
        </w:rPr>
        <w:t xml:space="preserve"> Wysokość [m]: 20, Pierśnica [cm]: 86 -  dz. nr 248/2, </w:t>
      </w:r>
      <w:proofErr w:type="spellStart"/>
      <w:r w:rsidRPr="006249D1">
        <w:rPr>
          <w:rFonts w:ascii="Times New Roman" w:hAnsi="Times New Roman"/>
          <w:sz w:val="24"/>
          <w:szCs w:val="24"/>
        </w:rPr>
        <w:t>obr</w:t>
      </w:r>
      <w:proofErr w:type="spellEnd"/>
      <w:r w:rsidRPr="006249D1">
        <w:rPr>
          <w:rFonts w:ascii="Times New Roman" w:hAnsi="Times New Roman"/>
          <w:sz w:val="24"/>
          <w:szCs w:val="24"/>
        </w:rPr>
        <w:t xml:space="preserve">. Więcbork 4, teren Lasu Miejskiego. Pomnik przyrody ustanowiony  na podstawie Uchwały Nr XIII/92/07 Rady Miejskiej w Więcborku z dnia 25 października 2007 r. w sprawie ustanowienia pomników przyrody, opublikowanej </w:t>
      </w:r>
      <w:r w:rsidRPr="006249D1">
        <w:rPr>
          <w:rFonts w:ascii="Times New Roman" w:hAnsi="Times New Roman"/>
          <w:sz w:val="24"/>
          <w:szCs w:val="24"/>
        </w:rPr>
        <w:br/>
        <w:t xml:space="preserve">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Dz. Urz. Woj. Kuj.-Pom. z 17.01.2008 r., nr 6, poz. 61).</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Aleja 139 drzew gatunku dąb szypułkowy i 3 drzew gatunku dąb czerwony </w:t>
      </w:r>
      <w:r w:rsidRPr="006249D1">
        <w:rPr>
          <w:rFonts w:ascii="Times New Roman" w:hAnsi="Times New Roman"/>
          <w:sz w:val="24"/>
          <w:szCs w:val="24"/>
        </w:rPr>
        <w:br/>
        <w:t xml:space="preserve">o obwodach w pierśnicy od 416 do 64 cm - w pasie drogi gminnej relacji Sypniewo – Wilcze Jary w obrębie ewidencji geodezyjnej Sypniewo, działka nr 260/2. Pomnik przyrody ustanowiony  na podstawie Rozporządzenia Nr 36 Wojewody Bydgoskiego z dnia 14 lutego 1995 r. w sprawie uznania za pomniki przyrody tworów przyrody na terenie województwa bydgoskiego opublikowanego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xml:space="preserve">. z 22.02.1995 r., nr 3, poz. 11). UCHWAŁA NR XX/132/2016 RADY MIEJSKIEJ W WIĘCBORKU z dnia 24 czerwca 2016 r. </w:t>
      </w:r>
      <w:r w:rsidRPr="006249D1">
        <w:rPr>
          <w:rFonts w:ascii="Times New Roman" w:hAnsi="Times New Roman"/>
          <w:sz w:val="24"/>
          <w:szCs w:val="24"/>
        </w:rPr>
        <w:lastRenderedPageBreak/>
        <w:t>zmieniająca uchwałę w sprawie ustanowienia formy ochrony przyrody, opublikowana w Dz. Urz. Województwa Kujawsko-Pomorskiego (Dz. Urz. z 2016 r. poz. 2476).</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Grupa drzew - park dworski Sypniewo. Pomnik przyrody ustanowiony  na podstawie  Rozporządzenia Nr 305/93 Wojewody Bydgoskiego z dnia 26 października 1993 r. </w:t>
      </w:r>
      <w:r w:rsidRPr="006249D1">
        <w:rPr>
          <w:rFonts w:ascii="Times New Roman" w:hAnsi="Times New Roman"/>
          <w:sz w:val="24"/>
          <w:szCs w:val="24"/>
        </w:rPr>
        <w:br/>
        <w:t xml:space="preserve">w sprawie uznania za pomniki przyrody tworów przyrody na terenie województwa bydgoskiego opublikowanego w  </w:t>
      </w:r>
      <w:r w:rsidRPr="006249D1">
        <w:rPr>
          <w:rFonts w:ascii="Times New Roman" w:eastAsia="Times New Roman" w:hAnsi="Times New Roman"/>
          <w:sz w:val="24"/>
          <w:szCs w:val="24"/>
          <w:lang w:eastAsia="pl-PL"/>
        </w:rPr>
        <w:t>Dz. Urz. Woj. Kujawsko-Pomorskiego</w:t>
      </w:r>
      <w:r w:rsidRPr="006249D1">
        <w:rPr>
          <w:rFonts w:ascii="Times New Roman" w:hAnsi="Times New Roman"/>
          <w:sz w:val="24"/>
          <w:szCs w:val="24"/>
        </w:rPr>
        <w:t xml:space="preserve"> (Dz.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xml:space="preserve">. z 16.12.1994 r., nr 20, poz. 316). </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Aleja przydrożna – 267 drzewa w tym 4 klony i 263 dęby - przy drodze Runowo – Borzyszkowo. Pomnik przyrody ustanowiony na podstawie Komunikatu Nr 1/70 Wojewódzkiego Konserwatora Przyrody Wydziału Rolnictwa i Leśnictwa Prezydium Wojewódzkiej Rady Narodowej w Bydgoszczy z dnia 31 lipca 1970r. w sprawie uznania za pomniki przyrody tworów przyrody w woj. Bydgoskim opublikowanego </w:t>
      </w:r>
      <w:r w:rsidRPr="006249D1">
        <w:rPr>
          <w:rFonts w:ascii="Times New Roman" w:hAnsi="Times New Roman"/>
          <w:sz w:val="24"/>
          <w:szCs w:val="24"/>
        </w:rPr>
        <w:br/>
        <w:t>w Dz. Urz. Woj. Rady Narodowej w Bydgoszczy</w:t>
      </w:r>
      <w:r w:rsidRPr="006249D1">
        <w:rPr>
          <w:rFonts w:ascii="Times New Roman" w:eastAsia="Times New Roman" w:hAnsi="Times New Roman"/>
          <w:sz w:val="24"/>
          <w:szCs w:val="24"/>
          <w:lang w:eastAsia="pl-PL"/>
        </w:rPr>
        <w:t xml:space="preserve"> (</w:t>
      </w:r>
      <w:r w:rsidRPr="006249D1">
        <w:rPr>
          <w:rFonts w:ascii="Times New Roman" w:hAnsi="Times New Roman"/>
          <w:sz w:val="24"/>
          <w:szCs w:val="24"/>
        </w:rPr>
        <w:t xml:space="preserve">Dz. Urz. Woj. Rady Narodowej </w:t>
      </w:r>
      <w:r w:rsidRPr="006249D1">
        <w:rPr>
          <w:rFonts w:ascii="Times New Roman" w:hAnsi="Times New Roman"/>
          <w:sz w:val="24"/>
          <w:szCs w:val="24"/>
        </w:rPr>
        <w:br/>
        <w:t xml:space="preserve">w Bydgoszczy z 10.09.1970 r., nr 20, poz. 208). Rozporządzenie Nr 11/91 Wojewody Bydgoskiego z dnia 1 lipca 1991 r. w sprawie uznania za pomniki przyrody tworów przyrody na terenie województwa bydgoskiego, opublikowane w Dz. Urz. Woj. Bydgoskiego (Dz.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z 30.07.1991 r., nr 15, poz. 120).</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Grupa drzew – Park Runowo Krajeńskie. Pomnik przyrody ustanowiony  na podstawie Komunikatu Wojewódzkiego Konserwatora Przyrody w sprawie uznania za pomniki przyrody opublikowanego w Dz. Urz. Woj. Rady Narodowej w Bydgoszczy</w:t>
      </w:r>
      <w:r w:rsidRPr="006249D1">
        <w:rPr>
          <w:rFonts w:ascii="Times New Roman" w:eastAsia="Times New Roman" w:hAnsi="Times New Roman"/>
          <w:sz w:val="24"/>
          <w:szCs w:val="24"/>
          <w:lang w:eastAsia="pl-PL"/>
        </w:rPr>
        <w:t xml:space="preserve"> (</w:t>
      </w:r>
      <w:r w:rsidRPr="006249D1">
        <w:rPr>
          <w:rFonts w:ascii="Times New Roman" w:hAnsi="Times New Roman"/>
          <w:sz w:val="24"/>
          <w:szCs w:val="24"/>
        </w:rPr>
        <w:t xml:space="preserve">Dz. Urz. Woj. Rady Narodowej w Bydgoszczy z 20.07.1959 r., nr 5, poz. 36). Rozporządzenie Nr 11/91 Wojewody Bydgoskiego z dnia 1 lipca 1991 r. w sprawie uznania za pomniki przyrody tworów przyrody na terenie województwa bydgoskiego, opublikowane w Dz. Urz. Woj. Bydgoskiego (Dz.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z 30.07.1991 r., nr 15, poz. 120).</w:t>
      </w:r>
    </w:p>
    <w:p w:rsidR="00D76FF1" w:rsidRPr="006249D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Grab zwyczajny (Grab pospolity) - </w:t>
      </w:r>
      <w:proofErr w:type="spellStart"/>
      <w:r w:rsidRPr="006249D1">
        <w:rPr>
          <w:rFonts w:ascii="Times New Roman" w:hAnsi="Times New Roman"/>
          <w:sz w:val="24"/>
          <w:szCs w:val="24"/>
        </w:rPr>
        <w:t>Carpinus</w:t>
      </w:r>
      <w:proofErr w:type="spellEnd"/>
      <w:r w:rsidRPr="006249D1">
        <w:rPr>
          <w:rFonts w:ascii="Times New Roman" w:hAnsi="Times New Roman"/>
          <w:sz w:val="24"/>
          <w:szCs w:val="24"/>
        </w:rPr>
        <w:t xml:space="preserve"> bet ulus Wysokość [m]: 24, Pierśnica [cm]: 122 – Cmentarz w Więcborku. Pomnik przyrody ustanowiony  na podstawie Rozporządzenia Nr 11/91 Wojewody Bydgoskiego z dnia 1 lipca 1991 r. w sprawie uznania za pomniki przyrody tworów przyrody na terenie województwa bydgoskiego opublikowanego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xml:space="preserve">. </w:t>
      </w:r>
      <w:r w:rsidRPr="006249D1">
        <w:rPr>
          <w:rFonts w:ascii="Times New Roman" w:hAnsi="Times New Roman"/>
          <w:sz w:val="24"/>
          <w:szCs w:val="24"/>
        </w:rPr>
        <w:br/>
        <w:t>z 30.07.1991 r., nr 15, poz. 120).</w:t>
      </w:r>
    </w:p>
    <w:p w:rsidR="00D76FF1" w:rsidRDefault="00D76FF1" w:rsidP="00D76FF1">
      <w:pPr>
        <w:pStyle w:val="Akapitzlist"/>
        <w:numPr>
          <w:ilvl w:val="0"/>
          <w:numId w:val="1"/>
        </w:numPr>
        <w:spacing w:line="360" w:lineRule="auto"/>
        <w:jc w:val="both"/>
        <w:rPr>
          <w:rFonts w:ascii="Times New Roman" w:hAnsi="Times New Roman"/>
          <w:sz w:val="24"/>
          <w:szCs w:val="24"/>
        </w:rPr>
      </w:pPr>
      <w:r w:rsidRPr="006249D1">
        <w:rPr>
          <w:rFonts w:ascii="Times New Roman" w:hAnsi="Times New Roman"/>
          <w:sz w:val="24"/>
          <w:szCs w:val="24"/>
        </w:rPr>
        <w:t xml:space="preserve">Grupa drzew - teren Lasu Miejskiego. Pomnik przyrody ustanowiony  na podstawie Rozporządzenia Nr 11/91 Wojewody Bydgoskiego z dnia 1 lipca 1991 r. w sprawie </w:t>
      </w:r>
      <w:r w:rsidRPr="006249D1">
        <w:rPr>
          <w:rFonts w:ascii="Times New Roman" w:hAnsi="Times New Roman"/>
          <w:sz w:val="24"/>
          <w:szCs w:val="24"/>
        </w:rPr>
        <w:lastRenderedPageBreak/>
        <w:t xml:space="preserve">uznania za pomniki przyrody tworów przyrody na terenie województwa bydgoskiego opublikowanego w </w:t>
      </w:r>
      <w:r w:rsidRPr="006249D1">
        <w:rPr>
          <w:rFonts w:ascii="Times New Roman" w:eastAsia="Times New Roman" w:hAnsi="Times New Roman"/>
          <w:sz w:val="24"/>
          <w:szCs w:val="24"/>
          <w:lang w:eastAsia="pl-PL"/>
        </w:rPr>
        <w:t>Dz. Urz. Woj. Kujawsko-Pomorskiego (</w:t>
      </w:r>
      <w:r w:rsidRPr="006249D1">
        <w:rPr>
          <w:rFonts w:ascii="Times New Roman" w:hAnsi="Times New Roman"/>
          <w:sz w:val="24"/>
          <w:szCs w:val="24"/>
        </w:rPr>
        <w:t xml:space="preserve">Dz. Urz. Woj. </w:t>
      </w:r>
      <w:proofErr w:type="spellStart"/>
      <w:r w:rsidRPr="006249D1">
        <w:rPr>
          <w:rFonts w:ascii="Times New Roman" w:hAnsi="Times New Roman"/>
          <w:sz w:val="24"/>
          <w:szCs w:val="24"/>
        </w:rPr>
        <w:t>Bydg</w:t>
      </w:r>
      <w:proofErr w:type="spellEnd"/>
      <w:r w:rsidRPr="006249D1">
        <w:rPr>
          <w:rFonts w:ascii="Times New Roman" w:hAnsi="Times New Roman"/>
          <w:sz w:val="24"/>
          <w:szCs w:val="24"/>
        </w:rPr>
        <w:t xml:space="preserve">. </w:t>
      </w:r>
      <w:r w:rsidRPr="006249D1">
        <w:rPr>
          <w:rFonts w:ascii="Times New Roman" w:hAnsi="Times New Roman"/>
          <w:sz w:val="24"/>
          <w:szCs w:val="24"/>
        </w:rPr>
        <w:br/>
        <w:t>z 30.07.1991 r., nr 15, poz. 120).</w:t>
      </w:r>
    </w:p>
    <w:p w:rsidR="00191884" w:rsidRPr="008D0053" w:rsidRDefault="00191884" w:rsidP="00191884">
      <w:pPr>
        <w:spacing w:line="360" w:lineRule="auto"/>
        <w:ind w:left="360"/>
        <w:jc w:val="both"/>
      </w:pPr>
      <w:r w:rsidRPr="008D0053">
        <w:t>Na obszarze Gminy Więcbork nie występują obszary ochrony zbiorników wód śródlądowych.</w:t>
      </w:r>
    </w:p>
    <w:p w:rsidR="00D76FF1" w:rsidRPr="006249D1" w:rsidRDefault="00D76FF1" w:rsidP="00D76FF1">
      <w:pPr>
        <w:suppressAutoHyphens w:val="0"/>
        <w:autoSpaceDE w:val="0"/>
        <w:autoSpaceDN w:val="0"/>
        <w:spacing w:line="360" w:lineRule="auto"/>
        <w:ind w:left="360" w:firstLine="348"/>
        <w:jc w:val="both"/>
      </w:pPr>
      <w:r w:rsidRPr="006249D1">
        <w:t xml:space="preserve">Obszar i przebieg granic przedmiotowej aglomeracji określono na mapie w skali </w:t>
      </w:r>
      <w:r w:rsidRPr="006249D1">
        <w:br/>
        <w:t xml:space="preserve">1:10 000, która stanowi załącznik nr 2 do przedmiotowej uchwały. Zgodnie z § 3 ust. 2 Rozporządzenia ministra Gospodarki Morskiej i Żeglugi Śródlądowej z dnia 27 lipca 2018r. w sprawie sposobu wyznaczeni obszarów i granic aglomeracji granica aglomeracji przebiega wzdłuż zewnętrznych granic działek ewidencyjnych, zabudowanych albo przeznaczonych pod zabudowę, skanalizowanych albo przewidzianych do skanalizowania. </w:t>
      </w:r>
    </w:p>
    <w:p w:rsidR="00803C03" w:rsidRDefault="00803C03"/>
    <w:sectPr w:rsidR="00803C03" w:rsidSect="00803C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6A8D"/>
    <w:multiLevelType w:val="hybridMultilevel"/>
    <w:tmpl w:val="D15EB804"/>
    <w:lvl w:ilvl="0" w:tplc="D51E8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5550305"/>
    <w:multiLevelType w:val="hybridMultilevel"/>
    <w:tmpl w:val="E94EF3E2"/>
    <w:lvl w:ilvl="0" w:tplc="D51E8E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6FF1"/>
    <w:rsid w:val="00035A5C"/>
    <w:rsid w:val="000746F5"/>
    <w:rsid w:val="001448ED"/>
    <w:rsid w:val="00191884"/>
    <w:rsid w:val="001A10E8"/>
    <w:rsid w:val="0025453F"/>
    <w:rsid w:val="0030209E"/>
    <w:rsid w:val="003433B8"/>
    <w:rsid w:val="003434AD"/>
    <w:rsid w:val="003719B1"/>
    <w:rsid w:val="00387DBE"/>
    <w:rsid w:val="00392BE1"/>
    <w:rsid w:val="004066E4"/>
    <w:rsid w:val="00430451"/>
    <w:rsid w:val="0045781F"/>
    <w:rsid w:val="004E766A"/>
    <w:rsid w:val="00555DF1"/>
    <w:rsid w:val="00647544"/>
    <w:rsid w:val="00682E46"/>
    <w:rsid w:val="006B008D"/>
    <w:rsid w:val="006F380B"/>
    <w:rsid w:val="0076006E"/>
    <w:rsid w:val="00803C03"/>
    <w:rsid w:val="00854076"/>
    <w:rsid w:val="00870589"/>
    <w:rsid w:val="008C0E29"/>
    <w:rsid w:val="008D0053"/>
    <w:rsid w:val="0092284F"/>
    <w:rsid w:val="009802D5"/>
    <w:rsid w:val="00A259EA"/>
    <w:rsid w:val="00A523A6"/>
    <w:rsid w:val="00AA60F3"/>
    <w:rsid w:val="00B62CA1"/>
    <w:rsid w:val="00B9249E"/>
    <w:rsid w:val="00B965F0"/>
    <w:rsid w:val="00BD0780"/>
    <w:rsid w:val="00BE0DEF"/>
    <w:rsid w:val="00C26907"/>
    <w:rsid w:val="00C333D7"/>
    <w:rsid w:val="00CA3CA2"/>
    <w:rsid w:val="00CB4A83"/>
    <w:rsid w:val="00CD5FAE"/>
    <w:rsid w:val="00D073B5"/>
    <w:rsid w:val="00D122DB"/>
    <w:rsid w:val="00D327ED"/>
    <w:rsid w:val="00D33CB2"/>
    <w:rsid w:val="00D76FF1"/>
    <w:rsid w:val="00DA55D2"/>
    <w:rsid w:val="00DC49FD"/>
    <w:rsid w:val="00DD7B04"/>
    <w:rsid w:val="00E92C12"/>
    <w:rsid w:val="00F52C30"/>
    <w:rsid w:val="00FD79E4"/>
    <w:rsid w:val="00FE29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FF1"/>
    <w:pPr>
      <w:suppressAutoHyphens/>
      <w:spacing w:after="0" w:line="100" w:lineRule="atLeast"/>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76FF1"/>
    <w:pPr>
      <w:suppressAutoHyphens w:val="0"/>
      <w:spacing w:before="100" w:beforeAutospacing="1" w:after="100" w:afterAutospacing="1" w:line="240" w:lineRule="auto"/>
    </w:pPr>
    <w:rPr>
      <w:lang w:eastAsia="pl-PL"/>
    </w:rPr>
  </w:style>
  <w:style w:type="paragraph" w:styleId="Akapitzlist">
    <w:name w:val="List Paragraph"/>
    <w:basedOn w:val="Normalny"/>
    <w:uiPriority w:val="34"/>
    <w:qFormat/>
    <w:rsid w:val="00D76FF1"/>
    <w:pPr>
      <w:suppressAutoHyphens w:val="0"/>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922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2840</Words>
  <Characters>17044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Młodzik</dc:creator>
  <cp:lastModifiedBy>Izabela Mrozek</cp:lastModifiedBy>
  <cp:revision>4</cp:revision>
  <dcterms:created xsi:type="dcterms:W3CDTF">2020-12-08T09:48:00Z</dcterms:created>
  <dcterms:modified xsi:type="dcterms:W3CDTF">2020-12-08T10:29:00Z</dcterms:modified>
</cp:coreProperties>
</file>